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E71F3">
      <w:pPr>
        <w:ind w:left="108"/>
        <w:jc w:val="center"/>
        <w:rPr>
          <w:rFonts w:ascii="黑体" w:hAnsi="黑体" w:eastAsia="黑体"/>
          <w:sz w:val="32"/>
          <w:szCs w:val="32"/>
          <w:lang w:eastAsia="zh-CN"/>
        </w:rPr>
      </w:pPr>
      <w:bookmarkStart w:id="4" w:name="_GoBack"/>
      <w:bookmarkEnd w:id="4"/>
      <w:r>
        <w:rPr>
          <w:rFonts w:hint="eastAsia" w:ascii="黑体" w:hAnsi="黑体" w:eastAsia="黑体"/>
          <w:sz w:val="32"/>
          <w:szCs w:val="32"/>
          <w:lang w:eastAsia="zh-CN"/>
        </w:rPr>
        <w:t>中国保健协会团体标准《</w:t>
      </w:r>
      <w:r>
        <w:rPr>
          <w:rFonts w:ascii="黑体" w:hAnsi="黑体" w:eastAsia="黑体"/>
          <w:sz w:val="32"/>
          <w:szCs w:val="32"/>
          <w:lang w:eastAsia="zh-CN"/>
        </w:rPr>
        <w:t>白芸豆提取物中α-淀粉酶抑制剂活性的测定 分光光度法</w:t>
      </w:r>
      <w:r>
        <w:rPr>
          <w:rFonts w:hint="eastAsia" w:ascii="黑体" w:hAnsi="黑体" w:eastAsia="黑体"/>
          <w:sz w:val="32"/>
          <w:szCs w:val="32"/>
          <w:lang w:eastAsia="zh-CN"/>
        </w:rPr>
        <w:t>》编制说明</w:t>
      </w:r>
    </w:p>
    <w:p w14:paraId="6CBEE772">
      <w:pPr>
        <w:ind w:left="108"/>
        <w:jc w:val="center"/>
        <w:rPr>
          <w:rFonts w:ascii="黑体" w:hAnsi="黑体" w:eastAsia="黑体"/>
          <w:sz w:val="32"/>
          <w:szCs w:val="32"/>
          <w:lang w:eastAsia="zh-CN"/>
        </w:rPr>
      </w:pPr>
    </w:p>
    <w:p w14:paraId="4A38294A">
      <w:pPr>
        <w:tabs>
          <w:tab w:val="left" w:pos="1815"/>
        </w:tabs>
        <w:spacing w:before="120" w:beforeLines="50" w:after="120" w:afterLines="50"/>
        <w:rPr>
          <w:rFonts w:ascii="黑体" w:hAnsi="黑体" w:eastAsia="黑体"/>
          <w:sz w:val="28"/>
          <w:szCs w:val="28"/>
          <w:lang w:eastAsia="zh-CN"/>
        </w:rPr>
      </w:pPr>
      <w:r>
        <w:rPr>
          <w:rFonts w:hint="eastAsia" w:ascii="黑体" w:hAnsi="黑体" w:eastAsia="黑体"/>
          <w:sz w:val="28"/>
          <w:szCs w:val="28"/>
          <w:lang w:eastAsia="zh-CN"/>
        </w:rPr>
        <w:t>一、工作简况</w:t>
      </w:r>
    </w:p>
    <w:p w14:paraId="56AC16ED">
      <w:pPr>
        <w:tabs>
          <w:tab w:val="left" w:pos="1815"/>
        </w:tabs>
        <w:spacing w:line="360" w:lineRule="auto"/>
        <w:rPr>
          <w:rFonts w:ascii="黑体" w:hAnsi="黑体" w:eastAsia="黑体"/>
          <w:sz w:val="21"/>
          <w:szCs w:val="21"/>
          <w:lang w:eastAsia="zh-CN"/>
        </w:rPr>
      </w:pPr>
      <w:r>
        <w:rPr>
          <w:rFonts w:hint="eastAsia" w:ascii="黑体" w:hAnsi="黑体" w:eastAsia="黑体"/>
          <w:sz w:val="21"/>
          <w:szCs w:val="21"/>
          <w:lang w:eastAsia="zh-CN"/>
        </w:rPr>
        <w:t>（一）制定背景</w:t>
      </w:r>
    </w:p>
    <w:p w14:paraId="011F2C99">
      <w:pPr>
        <w:spacing w:line="360" w:lineRule="auto"/>
        <w:ind w:firstLine="420" w:firstLineChars="200"/>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白芸豆是一种在世界范围内广泛种植和食用的豆类作物，其营养丰富，此外，其种子中富含的α-淀粉酶抑制蛋白，更是一种具有重要开发价值的功能性蛋白质。白芸豆种子中含有较高活性的α-淀粉酶抑制剂，能特异性地抑制人体唾液和肠道内 a-淀粉酶活力，阻碍或延缓食物中淀粉等碳水化合物的水解与消化，从而减少葡萄糖的生成与吸收，控制餐后血糖峰值并降低热量摄入，有效降低餐后血糖浓度，同时具有较高的生物安全性，对糖尿病和肥胖症具有潜在的治疗作用。</w:t>
      </w:r>
    </w:p>
    <w:p w14:paraId="5EB229AF">
      <w:pPr>
        <w:spacing w:line="360" w:lineRule="auto"/>
        <w:ind w:firstLine="420" w:firstLineChars="200"/>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近年来，α-淀粉酶抑制剂成为各国学者研究的热点，它属于糖苷水解酶抑制剂中的一种。α-淀粉酶抑制剂能在一定程度上抑制胃肠道内胰淀粉酶的活性，从而延缓小肠中碳水化合物的分解，起到降低血糖和血脂的作用，同时能够改善肠道微生态和身体机能，在糖尿病患者的饮食治疗中起到了积极的作用。α-淀粉酶抑制剂具有减少糖向脂肪转化、延缓肠道排空速度和增加脂肪消耗的作用，在减轻肥胖患者体重方面表现出良好效果。因此，α-淀粉酶抑制剂可作为有效的治疗手段，用于预防和治疗糖尿病、高血脂、脂肪过多症以及肥胖症等疾病。</w:t>
      </w:r>
    </w:p>
    <w:p w14:paraId="68B15DA5">
      <w:pPr>
        <w:spacing w:line="360" w:lineRule="auto"/>
        <w:ind w:firstLine="420" w:firstLineChars="200"/>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市场上标注不同α-淀粉酶抑制剂活力的产品种类繁多，其来源包括微生物发酵产物、小麦等谷物提取物以及化学合成类似物。从白芸豆中提取的α-淀粉酶抑制剂，因其独特的综合优势，已成为该领域的主流和高价值原料。然而，正是由于该原料的市场热度高、应用广泛，也导致了产品质量参差不齐、功效宣称混乱的局面。不同厂家采用各异的内部方法测定活力，导致产品标称的“抑制率”或“活性单位”缺乏可比性，这既损害了诚信企业的利益，也迷惑了消费者，最终阻碍了行业的健康发展。</w:t>
      </w:r>
    </w:p>
    <w:p w14:paraId="5BC5C3F7">
      <w:pPr>
        <w:spacing w:line="360" w:lineRule="auto"/>
        <w:ind w:firstLine="420" w:firstLineChars="200"/>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因此，制定一套科学、统一、可验证的活性测定标准</w:t>
      </w:r>
      <w:r>
        <w:rPr>
          <w:rFonts w:hint="eastAsia" w:asciiTheme="minorEastAsia" w:hAnsiTheme="minorEastAsia" w:eastAsiaTheme="minorEastAsia"/>
          <w:sz w:val="21"/>
          <w:szCs w:val="21"/>
          <w:lang w:eastAsia="zh-CN"/>
        </w:rPr>
        <w:t>就变得至关重要。</w:t>
      </w:r>
      <w:r>
        <w:rPr>
          <w:rFonts w:asciiTheme="minorEastAsia" w:hAnsiTheme="minorEastAsia" w:eastAsiaTheme="minorEastAsia"/>
          <w:sz w:val="21"/>
          <w:szCs w:val="21"/>
          <w:lang w:eastAsia="zh-CN"/>
        </w:rPr>
        <w:t>在本标准制定中，选择以分光光度法（DNS法）为核心的白芸豆提取物α-淀粉酶抑制剂活性测定方法，是基于方法科学性、实施可行性与产业适用性三重考量的最优决策。DNS法（3,5-二硝基水杨酸法），是国际公认数十年的还原糖定量经典方法，其原理扎实，重现性好</w:t>
      </w:r>
      <w:r>
        <w:rPr>
          <w:rFonts w:hint="eastAsia" w:asciiTheme="minorEastAsia" w:hAnsiTheme="minorEastAsia" w:eastAsiaTheme="minorEastAsia"/>
          <w:sz w:val="21"/>
          <w:szCs w:val="21"/>
          <w:lang w:eastAsia="zh-CN"/>
        </w:rPr>
        <w:t>。</w:t>
      </w:r>
      <w:r>
        <w:rPr>
          <w:rFonts w:asciiTheme="minorEastAsia" w:hAnsiTheme="minorEastAsia" w:eastAsiaTheme="minorEastAsia"/>
          <w:sz w:val="21"/>
          <w:szCs w:val="21"/>
          <w:lang w:eastAsia="zh-CN"/>
        </w:rPr>
        <w:t>通过直接测定酶解天然淀粉产生的麦芽糖，能最真实地反映α-淀粉酶活性及其被抑制的效果，确保检测结果与产品实际生理功能高度相关。分光光度计是各类实验室的标准配置，确保了方法可在研发、质检、监管等所有环节无障碍推行。该方法的加样、孵育、显色、测定等步骤均为离散的、可精确控制的操作，极易被编写成标准操作程序（SOP），对操作人员进行统一培训，从而保证不同实验室间结果的重现性与可比性。DNS试剂成分均为常见化学试剂，价格低廉，单次检测成本极低，完全契合生产企业进行大批量、常态化质量控制的成本约束。该方法已被学术界和产业界长期、广泛地应用于包括蛋白质、多糖、多酚等多种α-淀粉酶抑制剂的活性评价，其可靠性和适用性已得到充分验证。</w:t>
      </w:r>
    </w:p>
    <w:p w14:paraId="611B7F94">
      <w:pPr>
        <w:spacing w:line="360" w:lineRule="auto"/>
        <w:ind w:firstLine="420" w:firstLineChars="200"/>
        <w:rPr>
          <w:rFonts w:asciiTheme="minorEastAsia" w:hAnsiTheme="minorEastAsia" w:eastAsiaTheme="minorEastAsia"/>
          <w:color w:val="4F81BD" w:themeColor="accent1"/>
          <w:sz w:val="21"/>
          <w:szCs w:val="21"/>
          <w:lang w:eastAsia="zh-CN"/>
          <w14:textFill>
            <w14:solidFill>
              <w14:schemeClr w14:val="accent1"/>
            </w14:solidFill>
          </w14:textFill>
        </w:rPr>
      </w:pPr>
      <w:r>
        <w:rPr>
          <w:rFonts w:asciiTheme="minorEastAsia" w:hAnsiTheme="minorEastAsia" w:eastAsiaTheme="minorEastAsia"/>
          <w:sz w:val="21"/>
          <w:szCs w:val="21"/>
          <w:lang w:eastAsia="zh-CN"/>
        </w:rPr>
        <w:t>综上所述，制定《白芸豆提取物中α-淀粉酶抑制剂活性的测定 分光光度法》团体标准，不仅能为行业提供统一、可信的检测依据，也将对规范市场秩序、推动产业高质量可持续发展具有重要的现实意义。</w:t>
      </w:r>
    </w:p>
    <w:p w14:paraId="66B97BE2">
      <w:pPr>
        <w:spacing w:line="360" w:lineRule="auto"/>
        <w:ind w:firstLine="420" w:firstLineChars="200"/>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1.保障消费者权益与公共健康。通过确保相关产品的真实功效，本标准能有效保障糖尿病患者、肥胖人群等消费者的合法权益，使其能够选购到真正有效的健康产品。这对于提升公众健康水平、预控慢性病具有积极的社会意义。</w:t>
      </w:r>
    </w:p>
    <w:p w14:paraId="639BDD80">
      <w:pPr>
        <w:spacing w:line="360" w:lineRule="auto"/>
        <w:ind w:firstLine="420" w:firstLineChars="200"/>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2.支撑科技创新与产品开发。统一、可靠的检测方法是科研创新的基础。本标准将为新资源筛选、提取工艺优化、剂型改良等研发工作提供关键的评价工具，加速高活性、高品质白芸豆提取物产品的开发与应用。</w:t>
      </w:r>
    </w:p>
    <w:p w14:paraId="424B1F77">
      <w:pPr>
        <w:spacing w:line="360" w:lineRule="auto"/>
        <w:ind w:firstLine="420" w:firstLineChars="200"/>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3.推动产业标准化与高质量发展。针对白芸豆提取物功效核心成分——α-淀粉酶抑制活性的首个专门性标准，本文件填补了该领域检测标准的空白，推动行业从粗放式管理迈向精细化、科学化发展，是产业成熟与高质量发展的重要标志。</w:t>
      </w:r>
    </w:p>
    <w:p w14:paraId="71FD6A88">
      <w:pPr>
        <w:tabs>
          <w:tab w:val="left" w:pos="1815"/>
        </w:tabs>
        <w:spacing w:line="360" w:lineRule="auto"/>
        <w:rPr>
          <w:rFonts w:ascii="黑体" w:hAnsi="黑体" w:eastAsia="黑体"/>
          <w:sz w:val="21"/>
          <w:szCs w:val="21"/>
          <w:lang w:eastAsia="zh-CN"/>
        </w:rPr>
      </w:pPr>
      <w:r>
        <w:rPr>
          <w:rFonts w:ascii="黑体" w:hAnsi="黑体" w:eastAsia="黑体"/>
          <w:sz w:val="21"/>
          <w:szCs w:val="21"/>
          <w:lang w:eastAsia="zh-CN"/>
        </w:rPr>
        <w:t>（</w:t>
      </w:r>
      <w:r>
        <w:rPr>
          <w:rFonts w:hint="eastAsia" w:ascii="黑体" w:hAnsi="黑体" w:eastAsia="黑体"/>
          <w:sz w:val="21"/>
          <w:szCs w:val="21"/>
          <w:lang w:eastAsia="zh-CN"/>
        </w:rPr>
        <w:t>二</w:t>
      </w:r>
      <w:r>
        <w:rPr>
          <w:rFonts w:ascii="黑体" w:hAnsi="黑体" w:eastAsia="黑体"/>
          <w:sz w:val="21"/>
          <w:szCs w:val="21"/>
          <w:lang w:eastAsia="zh-CN"/>
        </w:rPr>
        <w:t>）</w:t>
      </w:r>
      <w:r>
        <w:rPr>
          <w:rFonts w:hint="eastAsia" w:ascii="黑体" w:hAnsi="黑体" w:eastAsia="黑体"/>
          <w:sz w:val="21"/>
          <w:szCs w:val="21"/>
          <w:lang w:eastAsia="zh-CN"/>
        </w:rPr>
        <w:t>标准编制过程</w:t>
      </w:r>
    </w:p>
    <w:p w14:paraId="3829A291">
      <w:pPr>
        <w:widowControl/>
        <w:spacing w:line="360" w:lineRule="auto"/>
        <w:rPr>
          <w:rFonts w:eastAsia="宋体"/>
          <w:spacing w:val="8"/>
          <w:sz w:val="21"/>
          <w:szCs w:val="21"/>
          <w:lang w:eastAsia="zh-CN"/>
        </w:rPr>
      </w:pPr>
      <w:r>
        <w:rPr>
          <w:rFonts w:hint="eastAsia" w:eastAsia="宋体"/>
          <w:spacing w:val="8"/>
          <w:sz w:val="21"/>
          <w:szCs w:val="21"/>
          <w:lang w:eastAsia="zh-CN"/>
        </w:rPr>
        <w:t xml:space="preserve">2.1 </w:t>
      </w:r>
      <w:r>
        <w:rPr>
          <w:rFonts w:eastAsia="宋体"/>
          <w:spacing w:val="8"/>
          <w:sz w:val="21"/>
          <w:szCs w:val="21"/>
          <w:lang w:eastAsia="zh-CN"/>
        </w:rPr>
        <w:t>标准研制阶段</w:t>
      </w:r>
    </w:p>
    <w:p w14:paraId="0B2D4BB9">
      <w:pPr>
        <w:widowControl/>
        <w:spacing w:line="360" w:lineRule="auto"/>
        <w:ind w:firstLine="490"/>
        <w:rPr>
          <w:rFonts w:eastAsia="宋体"/>
          <w:spacing w:val="8"/>
          <w:sz w:val="21"/>
          <w:szCs w:val="21"/>
          <w:lang w:eastAsia="zh-CN"/>
        </w:rPr>
      </w:pPr>
      <w:bookmarkStart w:id="0" w:name="OLE_LINK1"/>
      <w:r>
        <w:rPr>
          <w:rFonts w:eastAsia="宋体"/>
          <w:spacing w:val="8"/>
          <w:sz w:val="21"/>
          <w:szCs w:val="21"/>
          <w:lang w:eastAsia="zh-CN"/>
        </w:rPr>
        <w:t>202</w:t>
      </w:r>
      <w:r>
        <w:rPr>
          <w:rFonts w:hint="eastAsia" w:eastAsia="宋体"/>
          <w:spacing w:val="8"/>
          <w:sz w:val="21"/>
          <w:szCs w:val="21"/>
          <w:lang w:eastAsia="zh-CN"/>
        </w:rPr>
        <w:t>5年10月</w:t>
      </w:r>
      <w:bookmarkEnd w:id="0"/>
      <w:r>
        <w:rPr>
          <w:rFonts w:hint="eastAsia" w:eastAsia="宋体"/>
          <w:spacing w:val="8"/>
          <w:sz w:val="21"/>
          <w:szCs w:val="21"/>
          <w:lang w:eastAsia="zh-CN"/>
        </w:rPr>
        <w:t>，</w:t>
      </w:r>
      <w:bookmarkStart w:id="1" w:name="OLE_LINK2"/>
      <w:r>
        <w:rPr>
          <w:rFonts w:eastAsia="宋体"/>
          <w:spacing w:val="8"/>
          <w:sz w:val="21"/>
          <w:szCs w:val="21"/>
          <w:lang w:eastAsia="zh-CN"/>
        </w:rPr>
        <w:t>中国保健协</w:t>
      </w:r>
      <w:bookmarkEnd w:id="1"/>
      <w:r>
        <w:rPr>
          <w:rFonts w:eastAsia="宋体"/>
          <w:spacing w:val="8"/>
          <w:sz w:val="21"/>
          <w:szCs w:val="21"/>
          <w:lang w:eastAsia="zh-CN"/>
        </w:rPr>
        <w:t>会食物营养与安全专业委员会通过企业调研，了解企业实际生产情况，并组织收集、整理相关《</w:t>
      </w:r>
      <w:r>
        <w:rPr>
          <w:rFonts w:hint="eastAsia" w:eastAsia="宋体"/>
          <w:spacing w:val="8"/>
          <w:sz w:val="21"/>
          <w:szCs w:val="21"/>
          <w:lang w:eastAsia="zh-CN"/>
        </w:rPr>
        <w:t>白芸豆提取物中α-淀粉酶抑制剂活性的测定 分光光度法</w:t>
      </w:r>
      <w:r>
        <w:rPr>
          <w:rFonts w:eastAsia="宋体"/>
          <w:spacing w:val="8"/>
          <w:sz w:val="21"/>
          <w:szCs w:val="21"/>
          <w:lang w:eastAsia="zh-CN"/>
        </w:rPr>
        <w:t>》的标准化资料、专业文献等，经成分分析、研讨、论证后编写完成《</w:t>
      </w:r>
      <w:r>
        <w:rPr>
          <w:rFonts w:hint="eastAsia" w:eastAsia="宋体"/>
          <w:spacing w:val="8"/>
          <w:sz w:val="21"/>
          <w:szCs w:val="21"/>
          <w:lang w:eastAsia="zh-CN"/>
        </w:rPr>
        <w:t>白芸豆提取物中α-淀粉酶抑制剂活性的测定 分光光度法</w:t>
      </w:r>
      <w:r>
        <w:rPr>
          <w:rFonts w:eastAsia="宋体"/>
          <w:spacing w:val="8"/>
          <w:sz w:val="21"/>
          <w:szCs w:val="21"/>
          <w:lang w:eastAsia="zh-CN"/>
        </w:rPr>
        <w:t>》团标立项申请书及标准框架相关内容，并向中国保健协会提出标准立项申请。</w:t>
      </w:r>
    </w:p>
    <w:p w14:paraId="514E1CB3">
      <w:pPr>
        <w:widowControl/>
        <w:spacing w:line="360" w:lineRule="auto"/>
        <w:rPr>
          <w:rFonts w:eastAsia="宋体"/>
          <w:spacing w:val="8"/>
          <w:sz w:val="21"/>
          <w:szCs w:val="21"/>
          <w:lang w:eastAsia="zh-CN"/>
        </w:rPr>
      </w:pPr>
      <w:r>
        <w:rPr>
          <w:rFonts w:hint="eastAsia" w:eastAsia="宋体"/>
          <w:spacing w:val="8"/>
          <w:sz w:val="21"/>
          <w:szCs w:val="21"/>
          <w:lang w:eastAsia="zh-CN"/>
        </w:rPr>
        <w:t>2.2 标准立项阶段</w:t>
      </w:r>
    </w:p>
    <w:p w14:paraId="7435937E">
      <w:pPr>
        <w:widowControl/>
        <w:spacing w:line="360" w:lineRule="auto"/>
        <w:rPr>
          <w:rFonts w:eastAsia="宋体"/>
          <w:spacing w:val="8"/>
          <w:sz w:val="21"/>
          <w:szCs w:val="21"/>
          <w:lang w:eastAsia="zh-CN"/>
        </w:rPr>
      </w:pPr>
      <w:r>
        <w:rPr>
          <w:rFonts w:eastAsia="宋体"/>
          <w:spacing w:val="8"/>
          <w:sz w:val="21"/>
          <w:szCs w:val="21"/>
          <w:lang w:eastAsia="zh-CN"/>
        </w:rPr>
        <w:t xml:space="preserve">  </w:t>
      </w:r>
      <w:r>
        <w:rPr>
          <w:rFonts w:hint="eastAsia" w:eastAsia="宋体"/>
          <w:spacing w:val="8"/>
          <w:sz w:val="21"/>
          <w:szCs w:val="21"/>
          <w:lang w:eastAsia="zh-CN"/>
        </w:rPr>
        <w:t xml:space="preserve"> </w:t>
      </w:r>
      <w:bookmarkStart w:id="2" w:name="OLE_LINK3"/>
      <w:r>
        <w:rPr>
          <w:rFonts w:hint="eastAsia" w:eastAsia="宋体"/>
          <w:spacing w:val="8"/>
          <w:sz w:val="21"/>
          <w:szCs w:val="21"/>
          <w:lang w:eastAsia="zh-CN"/>
        </w:rPr>
        <w:t>2025年12月25日，中国保健协会组织召开</w:t>
      </w:r>
      <w:r>
        <w:rPr>
          <w:rFonts w:eastAsia="宋体"/>
          <w:spacing w:val="8"/>
          <w:sz w:val="21"/>
          <w:szCs w:val="21"/>
          <w:lang w:eastAsia="zh-CN"/>
        </w:rPr>
        <w:t>《</w:t>
      </w:r>
      <w:r>
        <w:rPr>
          <w:rFonts w:hint="eastAsia" w:eastAsia="宋体"/>
          <w:spacing w:val="8"/>
          <w:sz w:val="21"/>
          <w:szCs w:val="21"/>
          <w:lang w:eastAsia="zh-CN"/>
        </w:rPr>
        <w:t>白芸豆提取物中α-淀粉酶抑制剂活性的测定 分光光度法</w:t>
      </w:r>
      <w:r>
        <w:rPr>
          <w:rFonts w:eastAsia="宋体"/>
          <w:spacing w:val="8"/>
          <w:sz w:val="21"/>
          <w:szCs w:val="21"/>
          <w:lang w:eastAsia="zh-CN"/>
        </w:rPr>
        <w:t>》</w:t>
      </w:r>
      <w:r>
        <w:rPr>
          <w:rFonts w:hint="eastAsia" w:eastAsia="宋体"/>
          <w:spacing w:val="8"/>
          <w:sz w:val="21"/>
          <w:szCs w:val="21"/>
          <w:lang w:eastAsia="zh-CN"/>
        </w:rPr>
        <w:t>标准立项会议，会议对标准立项目的、意义以及标准草案进行了论证，一致同意通过该标准的立项。</w:t>
      </w:r>
    </w:p>
    <w:bookmarkEnd w:id="2"/>
    <w:p w14:paraId="2B70EBC1">
      <w:pPr>
        <w:widowControl/>
        <w:spacing w:line="360" w:lineRule="auto"/>
        <w:rPr>
          <w:rFonts w:eastAsia="宋体"/>
          <w:spacing w:val="8"/>
          <w:sz w:val="21"/>
          <w:szCs w:val="21"/>
          <w:lang w:eastAsia="zh-CN"/>
        </w:rPr>
      </w:pPr>
      <w:r>
        <w:rPr>
          <w:rFonts w:hint="eastAsia" w:eastAsia="宋体"/>
          <w:spacing w:val="8"/>
          <w:sz w:val="21"/>
          <w:szCs w:val="21"/>
          <w:lang w:eastAsia="zh-CN"/>
        </w:rPr>
        <w:t xml:space="preserve">2.3 </w:t>
      </w:r>
      <w:r>
        <w:rPr>
          <w:rFonts w:eastAsia="宋体"/>
          <w:spacing w:val="8"/>
          <w:sz w:val="21"/>
          <w:szCs w:val="21"/>
          <w:lang w:eastAsia="zh-CN"/>
        </w:rPr>
        <w:t>标准起草阶段</w:t>
      </w:r>
    </w:p>
    <w:p w14:paraId="14F142C7">
      <w:pPr>
        <w:widowControl/>
        <w:spacing w:line="360" w:lineRule="auto"/>
        <w:ind w:firstLine="452" w:firstLineChars="200"/>
        <w:rPr>
          <w:rFonts w:eastAsia="宋体"/>
          <w:spacing w:val="8"/>
          <w:sz w:val="21"/>
          <w:szCs w:val="21"/>
          <w:lang w:eastAsia="zh-CN"/>
        </w:rPr>
      </w:pPr>
      <w:r>
        <w:rPr>
          <w:rFonts w:eastAsia="宋体"/>
          <w:spacing w:val="8"/>
          <w:sz w:val="21"/>
          <w:szCs w:val="21"/>
          <w:lang w:eastAsia="zh-CN"/>
        </w:rPr>
        <w:t>……。</w:t>
      </w:r>
    </w:p>
    <w:p w14:paraId="4735AA7F">
      <w:pPr>
        <w:widowControl/>
        <w:spacing w:line="360" w:lineRule="auto"/>
        <w:rPr>
          <w:rFonts w:eastAsia="宋体"/>
          <w:spacing w:val="8"/>
          <w:sz w:val="21"/>
          <w:szCs w:val="21"/>
          <w:lang w:eastAsia="zh-CN"/>
        </w:rPr>
      </w:pPr>
      <w:r>
        <w:rPr>
          <w:rFonts w:eastAsia="宋体"/>
          <w:spacing w:val="8"/>
          <w:sz w:val="21"/>
          <w:szCs w:val="21"/>
          <w:lang w:eastAsia="zh-CN"/>
        </w:rPr>
        <w:t>2.</w:t>
      </w:r>
      <w:r>
        <w:rPr>
          <w:rFonts w:hint="eastAsia" w:eastAsia="宋体"/>
          <w:spacing w:val="8"/>
          <w:sz w:val="21"/>
          <w:szCs w:val="21"/>
          <w:lang w:eastAsia="zh-CN"/>
        </w:rPr>
        <w:t>4</w:t>
      </w:r>
      <w:r>
        <w:rPr>
          <w:rFonts w:eastAsia="宋体"/>
          <w:spacing w:val="8"/>
          <w:sz w:val="21"/>
          <w:szCs w:val="21"/>
          <w:lang w:eastAsia="zh-CN"/>
        </w:rPr>
        <w:t xml:space="preserve"> 征求意见阶段</w:t>
      </w:r>
    </w:p>
    <w:p w14:paraId="1EBCF70D">
      <w:pPr>
        <w:widowControl/>
        <w:spacing w:line="360" w:lineRule="auto"/>
        <w:ind w:firstLine="452" w:firstLineChars="200"/>
        <w:rPr>
          <w:rFonts w:eastAsia="宋体"/>
          <w:spacing w:val="8"/>
          <w:sz w:val="21"/>
          <w:szCs w:val="21"/>
          <w:lang w:eastAsia="zh-CN"/>
        </w:rPr>
      </w:pPr>
      <w:r>
        <w:rPr>
          <w:rFonts w:eastAsia="宋体"/>
          <w:spacing w:val="8"/>
          <w:sz w:val="21"/>
          <w:szCs w:val="21"/>
          <w:lang w:eastAsia="zh-CN"/>
        </w:rPr>
        <w:t>……。</w:t>
      </w:r>
    </w:p>
    <w:p w14:paraId="314E4E3D">
      <w:pPr>
        <w:widowControl/>
        <w:spacing w:line="360" w:lineRule="auto"/>
        <w:rPr>
          <w:rFonts w:eastAsia="宋体"/>
          <w:spacing w:val="8"/>
          <w:sz w:val="21"/>
          <w:szCs w:val="21"/>
          <w:lang w:eastAsia="zh-CN"/>
        </w:rPr>
      </w:pPr>
      <w:r>
        <w:rPr>
          <w:rFonts w:eastAsia="宋体"/>
          <w:spacing w:val="8"/>
          <w:sz w:val="21"/>
          <w:szCs w:val="21"/>
          <w:lang w:eastAsia="zh-CN"/>
        </w:rPr>
        <w:t>2.</w:t>
      </w:r>
      <w:r>
        <w:rPr>
          <w:rFonts w:hint="eastAsia" w:eastAsia="宋体"/>
          <w:spacing w:val="8"/>
          <w:sz w:val="21"/>
          <w:szCs w:val="21"/>
          <w:lang w:eastAsia="zh-CN"/>
        </w:rPr>
        <w:t>5</w:t>
      </w:r>
      <w:r>
        <w:rPr>
          <w:rFonts w:eastAsia="宋体"/>
          <w:spacing w:val="8"/>
          <w:sz w:val="21"/>
          <w:szCs w:val="21"/>
          <w:lang w:eastAsia="zh-CN"/>
        </w:rPr>
        <w:t xml:space="preserve"> 技术审查阶段</w:t>
      </w:r>
    </w:p>
    <w:p w14:paraId="18C541F5">
      <w:pPr>
        <w:widowControl/>
        <w:spacing w:line="360" w:lineRule="auto"/>
        <w:rPr>
          <w:rFonts w:eastAsia="宋体"/>
          <w:spacing w:val="8"/>
          <w:sz w:val="21"/>
          <w:szCs w:val="21"/>
          <w:lang w:eastAsia="zh-CN"/>
        </w:rPr>
      </w:pPr>
      <w:r>
        <w:rPr>
          <w:rFonts w:eastAsia="宋体"/>
          <w:spacing w:val="8"/>
          <w:sz w:val="21"/>
          <w:szCs w:val="21"/>
          <w:lang w:eastAsia="zh-CN"/>
        </w:rPr>
        <w:t xml:space="preserve">   ……。</w:t>
      </w:r>
    </w:p>
    <w:p w14:paraId="29918DDF">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二、编制原则和主要内容</w:t>
      </w:r>
    </w:p>
    <w:p w14:paraId="73971C8D">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（一）编制原则</w:t>
      </w:r>
    </w:p>
    <w:p w14:paraId="4FA8C855">
      <w:pPr>
        <w:widowControl/>
        <w:spacing w:line="360" w:lineRule="auto"/>
        <w:ind w:firstLine="452" w:firstLineChars="200"/>
        <w:rPr>
          <w:rFonts w:eastAsia="宋体"/>
          <w:spacing w:val="8"/>
          <w:sz w:val="21"/>
          <w:szCs w:val="21"/>
          <w:lang w:eastAsia="zh-CN"/>
        </w:rPr>
      </w:pPr>
      <w:r>
        <w:rPr>
          <w:rFonts w:hint="eastAsia" w:eastAsia="宋体"/>
          <w:spacing w:val="8"/>
          <w:sz w:val="21"/>
          <w:szCs w:val="21"/>
          <w:lang w:eastAsia="zh-CN"/>
        </w:rPr>
        <w:t xml:space="preserve">在标准制定过程中，标准起草工作组按照GB/T 1.1-2020 给出的规则编写，主要遵循以下原则： </w:t>
      </w:r>
    </w:p>
    <w:p w14:paraId="0ECCD7A8">
      <w:pPr>
        <w:tabs>
          <w:tab w:val="left" w:pos="1815"/>
        </w:tabs>
        <w:spacing w:line="360" w:lineRule="auto"/>
        <w:ind w:firstLine="315" w:firstLineChars="150"/>
        <w:rPr>
          <w:rFonts w:eastAsia="宋体"/>
          <w:sz w:val="21"/>
          <w:szCs w:val="21"/>
          <w:lang w:eastAsia="zh-CN"/>
        </w:rPr>
      </w:pPr>
      <w:r>
        <w:rPr>
          <w:rFonts w:eastAsia="宋体"/>
          <w:sz w:val="21"/>
          <w:szCs w:val="21"/>
          <w:lang w:eastAsia="zh-CN"/>
        </w:rPr>
        <w:t>（1）协调性</w:t>
      </w:r>
      <w:r>
        <w:rPr>
          <w:rFonts w:hint="eastAsia" w:eastAsia="宋体"/>
          <w:sz w:val="21"/>
          <w:szCs w:val="21"/>
          <w:lang w:eastAsia="zh-CN"/>
        </w:rPr>
        <w:t>：</w:t>
      </w:r>
      <w:r>
        <w:rPr>
          <w:rFonts w:eastAsia="宋体"/>
          <w:sz w:val="21"/>
          <w:szCs w:val="21"/>
          <w:lang w:eastAsia="zh-CN"/>
        </w:rPr>
        <w:t xml:space="preserve">保证标准与国内现行国家标准、行业标准协调一致。 </w:t>
      </w:r>
    </w:p>
    <w:p w14:paraId="0F5D33A6">
      <w:pPr>
        <w:tabs>
          <w:tab w:val="left" w:pos="1815"/>
        </w:tabs>
        <w:spacing w:line="360" w:lineRule="auto"/>
        <w:ind w:firstLine="315" w:firstLineChars="150"/>
        <w:rPr>
          <w:rFonts w:eastAsia="宋体"/>
          <w:sz w:val="21"/>
          <w:szCs w:val="21"/>
          <w:lang w:eastAsia="zh-CN"/>
        </w:rPr>
      </w:pPr>
      <w:r>
        <w:rPr>
          <w:rFonts w:eastAsia="宋体"/>
          <w:sz w:val="21"/>
          <w:szCs w:val="21"/>
          <w:lang w:eastAsia="zh-CN"/>
        </w:rPr>
        <w:t>（2）规范性</w:t>
      </w:r>
      <w:r>
        <w:rPr>
          <w:rFonts w:hint="eastAsia" w:eastAsia="宋体"/>
          <w:sz w:val="21"/>
          <w:szCs w:val="21"/>
          <w:lang w:eastAsia="zh-CN"/>
        </w:rPr>
        <w:t>：</w:t>
      </w:r>
      <w:r>
        <w:rPr>
          <w:rFonts w:eastAsia="宋体"/>
          <w:sz w:val="21"/>
          <w:szCs w:val="21"/>
          <w:lang w:eastAsia="zh-CN"/>
        </w:rPr>
        <w:t>严格按照GB/T 1.1</w:t>
      </w:r>
      <w:r>
        <w:rPr>
          <w:rFonts w:hint="eastAsia" w:eastAsia="宋体"/>
          <w:sz w:val="21"/>
          <w:szCs w:val="21"/>
          <w:lang w:eastAsia="zh-CN"/>
        </w:rPr>
        <w:t>—</w:t>
      </w:r>
      <w:r>
        <w:rPr>
          <w:rFonts w:eastAsia="宋体"/>
          <w:sz w:val="21"/>
          <w:szCs w:val="21"/>
          <w:lang w:eastAsia="zh-CN"/>
        </w:rPr>
        <w:t>20</w:t>
      </w:r>
      <w:r>
        <w:rPr>
          <w:rFonts w:hint="eastAsia" w:eastAsia="宋体"/>
          <w:sz w:val="21"/>
          <w:szCs w:val="21"/>
          <w:lang w:eastAsia="zh-CN"/>
        </w:rPr>
        <w:t>20</w:t>
      </w:r>
      <w:r>
        <w:rPr>
          <w:rFonts w:eastAsia="宋体"/>
          <w:sz w:val="21"/>
          <w:szCs w:val="21"/>
          <w:lang w:eastAsia="zh-CN"/>
        </w:rPr>
        <w:t>《</w:t>
      </w:r>
      <w:r>
        <w:rPr>
          <w:rFonts w:hint="eastAsia" w:eastAsia="宋体"/>
          <w:sz w:val="21"/>
          <w:szCs w:val="21"/>
          <w:lang w:eastAsia="zh-CN"/>
        </w:rPr>
        <w:t>标准化工作导则</w:t>
      </w:r>
      <w:r>
        <w:rPr>
          <w:rFonts w:eastAsia="宋体"/>
          <w:sz w:val="21"/>
          <w:szCs w:val="21"/>
          <w:lang w:eastAsia="zh-CN"/>
        </w:rPr>
        <w:t xml:space="preserve"> 第1部分：标准化文件的结构和起草规则》给出的规则起草</w:t>
      </w:r>
      <w:r>
        <w:rPr>
          <w:rFonts w:hint="eastAsia" w:eastAsia="宋体"/>
          <w:sz w:val="21"/>
          <w:szCs w:val="21"/>
          <w:lang w:eastAsia="zh-CN"/>
        </w:rPr>
        <w:t>，</w:t>
      </w:r>
      <w:r>
        <w:rPr>
          <w:rFonts w:eastAsia="宋体"/>
          <w:sz w:val="21"/>
          <w:szCs w:val="21"/>
          <w:lang w:eastAsia="zh-CN"/>
        </w:rPr>
        <w:t>保证标准的编写质量</w:t>
      </w:r>
      <w:r>
        <w:rPr>
          <w:rFonts w:hint="eastAsia" w:eastAsia="宋体"/>
          <w:sz w:val="21"/>
          <w:szCs w:val="21"/>
          <w:lang w:eastAsia="zh-CN"/>
        </w:rPr>
        <w:t>。</w:t>
      </w:r>
    </w:p>
    <w:p w14:paraId="48EDBDC7">
      <w:pPr>
        <w:tabs>
          <w:tab w:val="left" w:pos="1815"/>
        </w:tabs>
        <w:spacing w:line="360" w:lineRule="auto"/>
        <w:ind w:firstLine="315" w:firstLineChars="150"/>
        <w:rPr>
          <w:rFonts w:eastAsia="宋体"/>
          <w:sz w:val="21"/>
          <w:szCs w:val="21"/>
          <w:lang w:eastAsia="zh-CN"/>
        </w:rPr>
      </w:pPr>
      <w:r>
        <w:rPr>
          <w:rFonts w:hint="eastAsia" w:eastAsia="宋体"/>
          <w:sz w:val="21"/>
          <w:szCs w:val="21"/>
          <w:lang w:eastAsia="zh-CN"/>
        </w:rPr>
        <w:t>（3）</w:t>
      </w:r>
      <w:r>
        <w:rPr>
          <w:rFonts w:eastAsia="宋体"/>
          <w:sz w:val="21"/>
          <w:szCs w:val="21"/>
          <w:lang w:eastAsia="zh-CN"/>
        </w:rPr>
        <w:t>适用性：结合</w:t>
      </w:r>
      <w:r>
        <w:rPr>
          <w:rFonts w:hint="eastAsia" w:eastAsia="宋体"/>
          <w:sz w:val="21"/>
          <w:szCs w:val="21"/>
          <w:lang w:eastAsia="zh-CN"/>
        </w:rPr>
        <w:t>标准文献及</w:t>
      </w:r>
      <w:r>
        <w:rPr>
          <w:rFonts w:eastAsia="宋体"/>
          <w:sz w:val="21"/>
          <w:szCs w:val="21"/>
          <w:lang w:eastAsia="zh-CN"/>
        </w:rPr>
        <w:t>白芸豆提取物</w:t>
      </w:r>
      <w:r>
        <w:rPr>
          <w:rFonts w:hint="eastAsia" w:eastAsia="宋体"/>
          <w:sz w:val="21"/>
          <w:szCs w:val="21"/>
          <w:lang w:eastAsia="zh-CN"/>
        </w:rPr>
        <w:t>α-淀粉酶抑制蛋白检测的实际操作情况，确定了检测流程和计算方法。</w:t>
      </w:r>
    </w:p>
    <w:p w14:paraId="467648B5">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（二）主要技术内容确定依据</w:t>
      </w:r>
    </w:p>
    <w:p w14:paraId="681BB384">
      <w:pPr>
        <w:spacing w:line="360" w:lineRule="auto"/>
        <w:ind w:firstLine="210" w:firstLineChars="100"/>
        <w:rPr>
          <w:rFonts w:eastAsia="宋体"/>
          <w:sz w:val="21"/>
          <w:szCs w:val="21"/>
          <w:lang w:eastAsia="zh-CN"/>
        </w:rPr>
      </w:pPr>
      <w:r>
        <w:rPr>
          <w:rFonts w:hint="eastAsia" w:eastAsia="宋体"/>
          <w:sz w:val="21"/>
          <w:szCs w:val="21"/>
          <w:lang w:eastAsia="zh-CN"/>
        </w:rPr>
        <w:t>2.1</w:t>
      </w:r>
      <w:r>
        <w:rPr>
          <w:rFonts w:eastAsia="宋体"/>
          <w:sz w:val="21"/>
          <w:szCs w:val="21"/>
          <w:lang w:eastAsia="zh-CN"/>
        </w:rPr>
        <w:t xml:space="preserve"> </w:t>
      </w:r>
      <w:r>
        <w:rPr>
          <w:rFonts w:hint="eastAsia" w:eastAsia="宋体"/>
          <w:sz w:val="21"/>
          <w:szCs w:val="21"/>
          <w:lang w:eastAsia="zh-CN"/>
        </w:rPr>
        <w:t>适用范围</w:t>
      </w:r>
    </w:p>
    <w:p w14:paraId="3FE28D56">
      <w:pPr>
        <w:spacing w:line="360" w:lineRule="auto"/>
        <w:ind w:firstLine="420" w:firstLineChars="200"/>
        <w:rPr>
          <w:rFonts w:eastAsia="宋体"/>
          <w:sz w:val="21"/>
          <w:szCs w:val="21"/>
          <w:lang w:eastAsia="zh-CN"/>
        </w:rPr>
      </w:pPr>
      <w:r>
        <w:rPr>
          <w:rFonts w:eastAsia="宋体"/>
          <w:sz w:val="21"/>
          <w:szCs w:val="21"/>
          <w:lang w:eastAsia="zh-CN"/>
        </w:rPr>
        <w:t>本文件描述了白芸豆提取物中α-淀粉酶抑制剂活性测定的分光光度法、并规定了分光光度法的原理、试剂和材料、仪器、分析步骤、精密度的要求。</w:t>
      </w:r>
    </w:p>
    <w:p w14:paraId="5F10E066">
      <w:pPr>
        <w:spacing w:line="360" w:lineRule="auto"/>
        <w:ind w:firstLine="420" w:firstLineChars="200"/>
        <w:rPr>
          <w:rFonts w:eastAsia="宋体"/>
          <w:sz w:val="21"/>
          <w:szCs w:val="21"/>
          <w:lang w:eastAsia="zh-CN"/>
        </w:rPr>
      </w:pPr>
      <w:r>
        <w:rPr>
          <w:rFonts w:eastAsia="宋体"/>
          <w:sz w:val="21"/>
          <w:szCs w:val="21"/>
          <w:lang w:eastAsia="zh-CN"/>
        </w:rPr>
        <w:t>本文件适用于白芸豆提取物中α-淀粉酶抑制剂活性测定</w:t>
      </w:r>
      <w:r>
        <w:rPr>
          <w:rFonts w:hint="eastAsia" w:eastAsia="宋体"/>
          <w:sz w:val="21"/>
          <w:szCs w:val="21"/>
          <w:lang w:eastAsia="zh-CN"/>
        </w:rPr>
        <w:t>。</w:t>
      </w:r>
    </w:p>
    <w:p w14:paraId="7262671E">
      <w:pPr>
        <w:spacing w:line="360" w:lineRule="auto"/>
        <w:ind w:firstLine="210" w:firstLineChars="100"/>
        <w:rPr>
          <w:rFonts w:eastAsia="宋体"/>
          <w:sz w:val="21"/>
          <w:szCs w:val="21"/>
          <w:lang w:eastAsia="zh-CN"/>
        </w:rPr>
      </w:pPr>
      <w:r>
        <w:rPr>
          <w:rFonts w:hint="eastAsia" w:eastAsia="宋体"/>
          <w:sz w:val="21"/>
          <w:szCs w:val="21"/>
          <w:lang w:eastAsia="zh-CN"/>
        </w:rPr>
        <w:t>2.2 规范性引用文件</w:t>
      </w:r>
    </w:p>
    <w:p w14:paraId="5B23385F">
      <w:pPr>
        <w:spacing w:line="360" w:lineRule="auto"/>
        <w:ind w:firstLine="420" w:firstLineChars="200"/>
        <w:rPr>
          <w:rFonts w:eastAsia="宋体"/>
          <w:sz w:val="21"/>
          <w:szCs w:val="21"/>
          <w:lang w:eastAsia="zh-CN"/>
        </w:rPr>
      </w:pPr>
      <w:r>
        <w:rPr>
          <w:rFonts w:hint="eastAsia" w:eastAsia="宋体"/>
          <w:sz w:val="21"/>
          <w:szCs w:val="21"/>
          <w:lang w:eastAsia="zh-CN"/>
        </w:rPr>
        <w:t>本文件没有规范性引用文件。</w:t>
      </w:r>
    </w:p>
    <w:p w14:paraId="465957F1">
      <w:pPr>
        <w:pStyle w:val="20"/>
        <w:numPr>
          <w:ilvl w:val="1"/>
          <w:numId w:val="1"/>
        </w:numPr>
        <w:spacing w:line="360" w:lineRule="auto"/>
        <w:ind w:firstLineChars="0"/>
        <w:rPr>
          <w:rFonts w:eastAsia="宋体"/>
          <w:sz w:val="21"/>
          <w:szCs w:val="21"/>
          <w:lang w:eastAsia="zh-CN"/>
        </w:rPr>
      </w:pPr>
      <w:r>
        <w:rPr>
          <w:rFonts w:hint="eastAsia" w:eastAsia="宋体"/>
          <w:sz w:val="21"/>
          <w:szCs w:val="21"/>
          <w:lang w:eastAsia="zh-CN"/>
        </w:rPr>
        <w:t>术语和定义</w:t>
      </w:r>
    </w:p>
    <w:p w14:paraId="62F778EE">
      <w:pPr>
        <w:spacing w:line="360" w:lineRule="auto"/>
        <w:rPr>
          <w:rFonts w:eastAsia="宋体"/>
          <w:sz w:val="21"/>
          <w:szCs w:val="21"/>
          <w:lang w:eastAsia="zh-CN"/>
        </w:rPr>
      </w:pPr>
      <w:r>
        <w:rPr>
          <w:rFonts w:hint="eastAsia" w:eastAsia="宋体"/>
          <w:sz w:val="21"/>
          <w:szCs w:val="21"/>
          <w:lang w:eastAsia="zh-CN"/>
        </w:rPr>
        <w:t xml:space="preserve">   </w:t>
      </w:r>
      <w:r>
        <w:rPr>
          <w:rFonts w:eastAsia="宋体"/>
          <w:sz w:val="21"/>
          <w:szCs w:val="21"/>
          <w:lang w:eastAsia="zh-CN"/>
        </w:rPr>
        <w:t>白芸豆提取物从白芸豆中提取的天然淀粉酶抑制剂，其主要活性成分为α-淀粉酶抑制蛋白，存在于白芸豆种子的胚乳中。</w:t>
      </w:r>
    </w:p>
    <w:p w14:paraId="25CD3FB5">
      <w:pPr>
        <w:spacing w:line="360" w:lineRule="auto"/>
        <w:ind w:firstLine="315" w:firstLineChars="150"/>
        <w:rPr>
          <w:rFonts w:eastAsia="宋体"/>
          <w:sz w:val="21"/>
          <w:szCs w:val="21"/>
          <w:lang w:eastAsia="zh-CN"/>
        </w:rPr>
      </w:pPr>
      <w:r>
        <w:rPr>
          <w:rFonts w:eastAsia="宋体"/>
          <w:sz w:val="21"/>
          <w:szCs w:val="21"/>
          <w:lang w:eastAsia="zh-CN"/>
        </w:rPr>
        <w:t>α-淀粉酶抑制剂一类特异性抑制α-淀粉酶活性的天然生物活性物质。</w:t>
      </w:r>
    </w:p>
    <w:p w14:paraId="58397C8D">
      <w:pPr>
        <w:pStyle w:val="20"/>
        <w:numPr>
          <w:ilvl w:val="1"/>
          <w:numId w:val="1"/>
        </w:numPr>
        <w:spacing w:line="360" w:lineRule="auto"/>
        <w:ind w:firstLineChars="0"/>
        <w:rPr>
          <w:rFonts w:eastAsia="宋体"/>
          <w:sz w:val="21"/>
          <w:szCs w:val="21"/>
          <w:lang w:eastAsia="zh-CN"/>
        </w:rPr>
      </w:pPr>
      <w:r>
        <w:rPr>
          <w:rFonts w:hint="eastAsia" w:eastAsia="宋体"/>
          <w:sz w:val="21"/>
          <w:szCs w:val="21"/>
          <w:lang w:eastAsia="zh-CN"/>
        </w:rPr>
        <w:t>原理</w:t>
      </w:r>
    </w:p>
    <w:p w14:paraId="4DC404DB">
      <w:pPr>
        <w:spacing w:line="360" w:lineRule="auto"/>
        <w:ind w:firstLine="420" w:firstLineChars="200"/>
        <w:rPr>
          <w:rFonts w:eastAsia="宋体"/>
          <w:sz w:val="21"/>
          <w:szCs w:val="21"/>
          <w:lang w:eastAsia="zh-CN"/>
        </w:rPr>
      </w:pPr>
      <w:r>
        <w:rPr>
          <w:rFonts w:hint="eastAsia" w:eastAsia="宋体"/>
          <w:sz w:val="21"/>
          <w:szCs w:val="21"/>
          <w:lang w:eastAsia="zh-CN"/>
        </w:rPr>
        <w:t>文件参考《白芸豆提取物中 α-淀粉酶抑制剂活性检测方法对比分析》文件，并结合 T/CCCMHPIE 1.26—2018《植物提取物 白芸豆提取物》和T/CNLIC 0164—2024《白芸豆提取物》。</w:t>
      </w:r>
    </w:p>
    <w:p w14:paraId="3866A69A">
      <w:pPr>
        <w:spacing w:line="360" w:lineRule="auto"/>
        <w:rPr>
          <w:rFonts w:eastAsia="宋体"/>
          <w:sz w:val="21"/>
          <w:szCs w:val="21"/>
          <w:lang w:eastAsia="zh-CN"/>
        </w:rPr>
      </w:pPr>
      <w:r>
        <w:rPr>
          <w:rFonts w:hint="eastAsia" w:eastAsia="宋体"/>
          <w:sz w:val="21"/>
          <w:szCs w:val="21"/>
          <w:lang w:eastAsia="zh-CN"/>
        </w:rPr>
        <w:t>2.5 试剂和材料</w:t>
      </w:r>
    </w:p>
    <w:p w14:paraId="6B6B6EC4">
      <w:pPr>
        <w:spacing w:line="360" w:lineRule="auto"/>
        <w:ind w:firstLine="420" w:firstLineChars="200"/>
        <w:rPr>
          <w:rFonts w:eastAsia="宋体"/>
          <w:sz w:val="21"/>
          <w:szCs w:val="21"/>
          <w:lang w:eastAsia="zh-CN"/>
        </w:rPr>
      </w:pPr>
      <w:r>
        <w:rPr>
          <w:rFonts w:hint="eastAsia" w:eastAsia="宋体"/>
          <w:sz w:val="21"/>
          <w:szCs w:val="21"/>
          <w:lang w:eastAsia="zh-CN"/>
        </w:rPr>
        <w:t>试剂包括十二水磷酸氢二钠（Na2HPO4•12H2O）、氯化钠（NaCl）、可溶性淀粉、猪胰α-淀粉酶、氢氧化钠、3,5-二硝基水杨酸（98%）、四水酒石酸钾钠、苯酚、亚硫酸钠（98%）、麦芽糖（97%）、柠檬酸。</w:t>
      </w:r>
    </w:p>
    <w:p w14:paraId="3E3C7586">
      <w:pPr>
        <w:spacing w:line="360" w:lineRule="auto"/>
        <w:ind w:firstLine="420" w:firstLineChars="200"/>
        <w:rPr>
          <w:rFonts w:eastAsia="宋体"/>
          <w:sz w:val="21"/>
          <w:szCs w:val="21"/>
          <w:lang w:eastAsia="zh-CN"/>
        </w:rPr>
      </w:pPr>
      <w:r>
        <w:rPr>
          <w:rFonts w:hint="eastAsia" w:eastAsia="宋体"/>
          <w:sz w:val="21"/>
          <w:szCs w:val="21"/>
          <w:lang w:eastAsia="zh-CN"/>
        </w:rPr>
        <w:t>试剂配置包括PBS缓冲液、0.1mol/L 盐酸溶液、2 mg/mL可溶性淀粉溶液、DNS试剂和 2 mg/mL麦芽糖标准溶液。</w:t>
      </w:r>
    </w:p>
    <w:p w14:paraId="062BCBD7">
      <w:pPr>
        <w:spacing w:line="360" w:lineRule="auto"/>
        <w:ind w:firstLine="420" w:firstLineChars="200"/>
        <w:rPr>
          <w:rFonts w:eastAsia="宋体"/>
          <w:sz w:val="21"/>
          <w:szCs w:val="21"/>
          <w:lang w:eastAsia="zh-CN"/>
        </w:rPr>
      </w:pPr>
      <w:r>
        <w:rPr>
          <w:rFonts w:eastAsia="宋体"/>
          <w:sz w:val="21"/>
          <w:szCs w:val="21"/>
          <w:lang w:eastAsia="zh-CN"/>
        </w:rPr>
        <w:t>十二水磷酸氢二钠作用</w:t>
      </w:r>
      <w:r>
        <w:rPr>
          <w:rFonts w:hint="eastAsia" w:eastAsia="宋体"/>
          <w:sz w:val="21"/>
          <w:szCs w:val="21"/>
          <w:lang w:eastAsia="zh-CN"/>
        </w:rPr>
        <w:t>：</w:t>
      </w:r>
      <w:r>
        <w:rPr>
          <w:rFonts w:eastAsia="宋体"/>
          <w:sz w:val="21"/>
          <w:szCs w:val="21"/>
          <w:lang w:eastAsia="zh-CN"/>
        </w:rPr>
        <w:t>与柠檬酸共同配制PBS缓冲液，用于精确维持整个酶促反应体系的pH值在6.0。此pH值接近α-淀粉酶的最适pH，确保酶处于最佳活性状态，也使抑制反应在生理相关条件下进行。</w:t>
      </w:r>
    </w:p>
    <w:p w14:paraId="5D421F67">
      <w:pPr>
        <w:spacing w:line="360" w:lineRule="auto"/>
        <w:ind w:firstLine="420" w:firstLineChars="200"/>
        <w:rPr>
          <w:rFonts w:eastAsia="宋体"/>
          <w:sz w:val="21"/>
          <w:szCs w:val="21"/>
          <w:lang w:eastAsia="zh-CN"/>
        </w:rPr>
      </w:pPr>
      <w:r>
        <w:rPr>
          <w:rFonts w:eastAsia="宋体"/>
          <w:sz w:val="21"/>
          <w:szCs w:val="21"/>
          <w:lang w:eastAsia="zh-CN"/>
        </w:rPr>
        <w:t>柠檬酸</w:t>
      </w:r>
      <w:r>
        <w:rPr>
          <w:rFonts w:hint="eastAsia" w:eastAsia="宋体"/>
          <w:sz w:val="21"/>
          <w:szCs w:val="21"/>
          <w:lang w:eastAsia="zh-CN"/>
        </w:rPr>
        <w:t>作用：</w:t>
      </w:r>
      <w:r>
        <w:rPr>
          <w:rFonts w:eastAsia="宋体"/>
          <w:sz w:val="21"/>
          <w:szCs w:val="21"/>
          <w:lang w:eastAsia="zh-CN"/>
        </w:rPr>
        <w:t>与磷酸氢二钠构成缓冲对。其酸性用于中和、调节pH，是缓冲体系的关键组成部分。</w:t>
      </w:r>
    </w:p>
    <w:p w14:paraId="3CD4BECC">
      <w:pPr>
        <w:spacing w:line="360" w:lineRule="auto"/>
        <w:ind w:firstLine="420" w:firstLineChars="200"/>
        <w:rPr>
          <w:rFonts w:eastAsia="宋体"/>
          <w:sz w:val="21"/>
          <w:szCs w:val="21"/>
          <w:lang w:eastAsia="zh-CN"/>
        </w:rPr>
      </w:pPr>
      <w:r>
        <w:rPr>
          <w:rFonts w:eastAsia="宋体"/>
          <w:sz w:val="21"/>
          <w:szCs w:val="21"/>
          <w:lang w:eastAsia="zh-CN"/>
        </w:rPr>
        <w:t>氯化钠</w:t>
      </w:r>
      <w:r>
        <w:rPr>
          <w:rFonts w:hint="eastAsia" w:eastAsia="宋体"/>
          <w:sz w:val="21"/>
          <w:szCs w:val="21"/>
          <w:lang w:eastAsia="zh-CN"/>
        </w:rPr>
        <w:t>作用：</w:t>
      </w:r>
      <w:r>
        <w:rPr>
          <w:rFonts w:eastAsia="宋体"/>
          <w:sz w:val="21"/>
          <w:szCs w:val="21"/>
          <w:lang w:eastAsia="zh-CN"/>
        </w:rPr>
        <w:t>通常用于配制PBS，提供适当的离子强度，稳定酶蛋白的结构与活性。氯离子（Cl</w:t>
      </w:r>
      <w:r>
        <w:rPr>
          <w:rFonts w:ascii="Cambria Math" w:hAnsi="Cambria Math" w:eastAsia="宋体" w:cs="Cambria Math"/>
          <w:sz w:val="21"/>
          <w:szCs w:val="21"/>
          <w:lang w:eastAsia="zh-CN"/>
        </w:rPr>
        <w:t>⁻</w:t>
      </w:r>
      <w:r>
        <w:rPr>
          <w:rFonts w:eastAsia="宋体"/>
          <w:sz w:val="21"/>
          <w:szCs w:val="21"/>
          <w:lang w:eastAsia="zh-CN"/>
        </w:rPr>
        <w:t>）也是α-淀粉酶的弱激活剂。</w:t>
      </w:r>
    </w:p>
    <w:p w14:paraId="312DDBC5">
      <w:pPr>
        <w:spacing w:line="360" w:lineRule="auto"/>
        <w:ind w:firstLine="420" w:firstLineChars="200"/>
        <w:rPr>
          <w:rFonts w:eastAsia="宋体"/>
          <w:sz w:val="21"/>
          <w:szCs w:val="21"/>
          <w:lang w:eastAsia="zh-CN"/>
        </w:rPr>
      </w:pPr>
      <w:r>
        <w:rPr>
          <w:rFonts w:eastAsia="宋体"/>
          <w:sz w:val="21"/>
          <w:szCs w:val="21"/>
          <w:lang w:eastAsia="zh-CN"/>
        </w:rPr>
        <w:t>猪胰α-淀粉酶</w:t>
      </w:r>
      <w:r>
        <w:rPr>
          <w:rFonts w:hint="eastAsia" w:eastAsia="宋体"/>
          <w:sz w:val="21"/>
          <w:szCs w:val="21"/>
          <w:lang w:eastAsia="zh-CN"/>
        </w:rPr>
        <w:t>作用：</w:t>
      </w:r>
      <w:r>
        <w:rPr>
          <w:rFonts w:eastAsia="宋体"/>
          <w:sz w:val="21"/>
          <w:szCs w:val="21"/>
          <w:lang w:eastAsia="zh-CN"/>
        </w:rPr>
        <w:t>核心反应酶。作为实验的靶点，它催化淀粉水解生成麦芽糖。其活性被白芸豆提取物抑制的程度，是本次测定的直接目标。选择猪胰来源是因为其与人α-淀粉酶性质相似。</w:t>
      </w:r>
    </w:p>
    <w:p w14:paraId="6B003063">
      <w:pPr>
        <w:spacing w:line="360" w:lineRule="auto"/>
        <w:ind w:firstLine="420" w:firstLineChars="200"/>
        <w:rPr>
          <w:rFonts w:eastAsia="宋体"/>
          <w:sz w:val="21"/>
          <w:szCs w:val="21"/>
          <w:lang w:eastAsia="zh-CN"/>
        </w:rPr>
      </w:pPr>
      <w:r>
        <w:rPr>
          <w:rFonts w:eastAsia="宋体"/>
          <w:sz w:val="21"/>
          <w:szCs w:val="21"/>
          <w:lang w:eastAsia="zh-CN"/>
        </w:rPr>
        <w:t>可溶性淀粉</w:t>
      </w:r>
      <w:r>
        <w:rPr>
          <w:rFonts w:hint="eastAsia" w:eastAsia="宋体"/>
          <w:sz w:val="21"/>
          <w:szCs w:val="21"/>
          <w:lang w:eastAsia="zh-CN"/>
        </w:rPr>
        <w:t>作用：</w:t>
      </w:r>
      <w:r>
        <w:rPr>
          <w:rFonts w:eastAsia="宋体"/>
          <w:sz w:val="21"/>
          <w:szCs w:val="21"/>
          <w:lang w:eastAsia="zh-CN"/>
        </w:rPr>
        <w:t>酶促反应的底物。被α-淀粉酶水解，生成产物麦芽糖。其消耗量（间接通过麦芽糖生成量测定）反映了酶的活力。</w:t>
      </w:r>
      <w:r>
        <w:rPr>
          <w:rFonts w:hint="eastAsia" w:eastAsia="宋体"/>
          <w:sz w:val="21"/>
          <w:szCs w:val="21"/>
          <w:lang w:eastAsia="zh-CN"/>
        </w:rPr>
        <w:t>可溶性淀粉相比于其他淀粉更溶解于水，</w:t>
      </w:r>
      <w:r>
        <w:rPr>
          <w:rFonts w:eastAsia="宋体"/>
          <w:sz w:val="21"/>
          <w:szCs w:val="21"/>
          <w:lang w:eastAsia="zh-CN"/>
        </w:rPr>
        <w:t>避免了溶液不均一或光散射对分光光度测定的干扰，确保吸光度真实反映还原糖的生成量。</w:t>
      </w:r>
    </w:p>
    <w:p w14:paraId="71DA30D5">
      <w:pPr>
        <w:spacing w:line="360" w:lineRule="auto"/>
        <w:ind w:firstLine="420" w:firstLineChars="200"/>
        <w:rPr>
          <w:rFonts w:eastAsia="宋体"/>
          <w:sz w:val="21"/>
          <w:szCs w:val="21"/>
          <w:lang w:eastAsia="zh-CN"/>
        </w:rPr>
      </w:pPr>
      <w:r>
        <w:rPr>
          <w:rFonts w:eastAsia="宋体"/>
          <w:sz w:val="21"/>
          <w:szCs w:val="21"/>
          <w:lang w:eastAsia="zh-CN"/>
        </w:rPr>
        <w:t>麦芽糖</w:t>
      </w:r>
      <w:r>
        <w:rPr>
          <w:rFonts w:hint="eastAsia" w:eastAsia="宋体"/>
          <w:sz w:val="21"/>
          <w:szCs w:val="21"/>
          <w:lang w:eastAsia="zh-CN"/>
        </w:rPr>
        <w:t>作用：</w:t>
      </w:r>
      <w:r>
        <w:rPr>
          <w:rFonts w:eastAsia="宋体"/>
          <w:sz w:val="21"/>
          <w:szCs w:val="21"/>
          <w:lang w:eastAsia="zh-CN"/>
        </w:rPr>
        <w:t>标准品与产物。1) 用于制作标准曲线，将吸光度信号定量转化为麦芽糖浓度。2) 是α-淀粉酶水解淀粉的主要产物，其生成量直接衡量酶活力。</w:t>
      </w:r>
    </w:p>
    <w:p w14:paraId="43808CC3">
      <w:pPr>
        <w:pStyle w:val="20"/>
        <w:numPr>
          <w:ilvl w:val="1"/>
          <w:numId w:val="2"/>
        </w:numPr>
        <w:spacing w:line="360" w:lineRule="auto"/>
        <w:ind w:firstLineChars="0"/>
        <w:rPr>
          <w:rFonts w:eastAsia="宋体"/>
          <w:sz w:val="21"/>
          <w:szCs w:val="21"/>
          <w:lang w:eastAsia="zh-CN"/>
        </w:rPr>
      </w:pPr>
      <w:r>
        <w:rPr>
          <w:rFonts w:hint="eastAsia" w:eastAsia="宋体"/>
          <w:sz w:val="21"/>
          <w:szCs w:val="21"/>
          <w:lang w:eastAsia="zh-CN"/>
        </w:rPr>
        <w:t>仪器</w:t>
      </w:r>
    </w:p>
    <w:p w14:paraId="23ADA50A">
      <w:pPr>
        <w:spacing w:line="360" w:lineRule="auto"/>
        <w:ind w:firstLine="420" w:firstLineChars="200"/>
        <w:rPr>
          <w:rFonts w:eastAsia="宋体"/>
          <w:sz w:val="21"/>
          <w:szCs w:val="21"/>
          <w:lang w:eastAsia="zh-CN"/>
        </w:rPr>
      </w:pPr>
      <w:r>
        <w:rPr>
          <w:rFonts w:hint="eastAsia" w:eastAsia="宋体"/>
          <w:sz w:val="21"/>
          <w:szCs w:val="21"/>
          <w:lang w:eastAsia="zh-CN"/>
        </w:rPr>
        <w:t>包括分光光度计、分析天平、恒温水浴锅、涡旋混合器和移液枪。</w:t>
      </w:r>
    </w:p>
    <w:p w14:paraId="12B504E2">
      <w:pPr>
        <w:pStyle w:val="20"/>
        <w:numPr>
          <w:ilvl w:val="1"/>
          <w:numId w:val="2"/>
        </w:numPr>
        <w:spacing w:line="360" w:lineRule="auto"/>
        <w:ind w:firstLineChars="0"/>
        <w:rPr>
          <w:rFonts w:eastAsia="宋体"/>
          <w:sz w:val="21"/>
          <w:szCs w:val="21"/>
          <w:lang w:eastAsia="zh-CN"/>
        </w:rPr>
      </w:pPr>
      <w:r>
        <w:rPr>
          <w:rFonts w:hint="eastAsia" w:eastAsia="宋体"/>
          <w:sz w:val="21"/>
          <w:szCs w:val="21"/>
          <w:lang w:eastAsia="zh-CN"/>
        </w:rPr>
        <w:t>分析步骤</w:t>
      </w:r>
    </w:p>
    <w:p w14:paraId="511E3FD3">
      <w:pPr>
        <w:spacing w:line="360" w:lineRule="auto"/>
        <w:rPr>
          <w:rFonts w:eastAsia="宋体"/>
          <w:sz w:val="21"/>
          <w:szCs w:val="21"/>
          <w:lang w:eastAsia="zh-CN"/>
        </w:rPr>
      </w:pPr>
      <w:r>
        <w:rPr>
          <w:rFonts w:hint="eastAsia" w:eastAsia="宋体"/>
          <w:sz w:val="21"/>
          <w:szCs w:val="21"/>
          <w:lang w:eastAsia="zh-CN"/>
        </w:rPr>
        <w:t>2.7.1</w:t>
      </w:r>
      <w:r>
        <w:rPr>
          <w:rFonts w:eastAsia="宋体"/>
          <w:sz w:val="21"/>
          <w:szCs w:val="21"/>
          <w:lang w:eastAsia="zh-CN"/>
        </w:rPr>
        <w:t>麦芽糖标准曲线的制作</w:t>
      </w:r>
    </w:p>
    <w:p w14:paraId="4E33F489">
      <w:pPr>
        <w:spacing w:line="360" w:lineRule="auto"/>
        <w:ind w:firstLine="420"/>
        <w:rPr>
          <w:rFonts w:eastAsia="宋体"/>
          <w:sz w:val="21"/>
          <w:szCs w:val="21"/>
          <w:lang w:eastAsia="zh-CN"/>
        </w:rPr>
      </w:pPr>
      <w:r>
        <w:rPr>
          <w:rFonts w:eastAsia="宋体"/>
          <w:sz w:val="21"/>
          <w:szCs w:val="21"/>
          <w:lang w:eastAsia="zh-CN"/>
        </w:rPr>
        <w:t>麦芽糖标准曲线的制作遵循朗伯-比尔定律，该定律是分光光度法定量分析的基础，表明吸光度与吸光物质浓度在一定范围内成正比。通过制备浓度梯度的标准品，可以建立准确的定量关系。</w:t>
      </w:r>
    </w:p>
    <w:p w14:paraId="61F097A4">
      <w:pPr>
        <w:spacing w:line="360" w:lineRule="auto"/>
        <w:ind w:firstLine="420"/>
        <w:rPr>
          <w:rFonts w:eastAsia="宋体"/>
          <w:sz w:val="21"/>
          <w:szCs w:val="21"/>
          <w:lang w:eastAsia="zh-CN"/>
        </w:rPr>
      </w:pPr>
      <w:r>
        <w:rPr>
          <w:rFonts w:eastAsia="宋体"/>
          <w:sz w:val="21"/>
          <w:szCs w:val="21"/>
          <w:lang w:eastAsia="zh-CN"/>
        </w:rPr>
        <w:t>显色反应则依据经典的 DNS法，在碱性加热条件下，还原糖（麦芽糖）将DNS还原为棕红色的3-氨基-5-硝基水杨酸，该物质在540 nm处有特征吸收峰。</w:t>
      </w:r>
    </w:p>
    <w:p w14:paraId="18F3CD8E">
      <w:pPr>
        <w:spacing w:line="360" w:lineRule="auto"/>
        <w:ind w:firstLine="420"/>
        <w:rPr>
          <w:rFonts w:eastAsia="宋体"/>
          <w:sz w:val="21"/>
          <w:szCs w:val="21"/>
          <w:lang w:eastAsia="zh-CN"/>
        </w:rPr>
      </w:pPr>
      <w:r>
        <w:rPr>
          <w:rFonts w:eastAsia="宋体"/>
          <w:sz w:val="21"/>
          <w:szCs w:val="21"/>
          <w:lang w:eastAsia="zh-CN"/>
        </w:rPr>
        <w:t>取8只试管编号，分别加入麦芽糖标准溶液（浓度为2.00 mg/mL）0、1、2、3、4，5、6、7 mL</w:t>
      </w:r>
      <w:r>
        <w:rPr>
          <w:rFonts w:hint="eastAsia" w:eastAsia="宋体"/>
          <w:sz w:val="21"/>
          <w:szCs w:val="21"/>
          <w:lang w:eastAsia="zh-CN"/>
        </w:rPr>
        <w:t>,</w:t>
      </w:r>
      <w:r>
        <w:rPr>
          <w:lang w:eastAsia="zh-CN"/>
        </w:rPr>
        <w:t xml:space="preserve"> </w:t>
      </w:r>
      <w:r>
        <w:rPr>
          <w:rFonts w:eastAsia="宋体"/>
          <w:sz w:val="21"/>
          <w:szCs w:val="21"/>
          <w:lang w:eastAsia="zh-CN"/>
        </w:rPr>
        <w:t>用水将各试管中液体体积补足至7 mL。</w:t>
      </w:r>
      <w:r>
        <w:rPr>
          <w:rFonts w:hint="eastAsia" w:eastAsia="宋体"/>
          <w:sz w:val="21"/>
          <w:szCs w:val="21"/>
          <w:lang w:eastAsia="zh-CN"/>
        </w:rPr>
        <w:t>麦芽糖标准曲线溶液配制如下表。</w:t>
      </w:r>
    </w:p>
    <w:tbl>
      <w:tblPr>
        <w:tblStyle w:val="30"/>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691"/>
        <w:gridCol w:w="850"/>
        <w:gridCol w:w="901"/>
        <w:gridCol w:w="797"/>
        <w:gridCol w:w="901"/>
        <w:gridCol w:w="797"/>
        <w:gridCol w:w="798"/>
        <w:gridCol w:w="792"/>
        <w:gridCol w:w="765"/>
      </w:tblGrid>
      <w:tr w14:paraId="750F2F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691" w:type="dxa"/>
            <w:tcBorders>
              <w:top w:val="single" w:color="auto" w:sz="8" w:space="0"/>
              <w:bottom w:val="single" w:color="auto" w:sz="8" w:space="0"/>
            </w:tcBorders>
            <w:vAlign w:val="center"/>
          </w:tcPr>
          <w:p w14:paraId="4E51A2F6">
            <w:pPr>
              <w:widowControl/>
              <w:jc w:val="both"/>
              <w:rPr>
                <w:rFonts w:eastAsia="宋体" w:cs="Times New Roman"/>
                <w:sz w:val="18"/>
                <w:szCs w:val="18"/>
                <w:lang w:eastAsia="zh-CN" w:bidi="ar-SA"/>
              </w:rPr>
            </w:pPr>
            <w:r>
              <w:rPr>
                <w:rFonts w:hint="eastAsia" w:eastAsia="宋体" w:cs="Times New Roman"/>
                <w:sz w:val="18"/>
                <w:szCs w:val="18"/>
                <w:lang w:eastAsia="zh-CN" w:bidi="ar-SA"/>
              </w:rPr>
              <w:t>编号</w:t>
            </w:r>
          </w:p>
        </w:tc>
        <w:tc>
          <w:tcPr>
            <w:tcW w:w="850" w:type="dxa"/>
            <w:tcBorders>
              <w:top w:val="single" w:color="auto" w:sz="8" w:space="0"/>
              <w:bottom w:val="single" w:color="auto" w:sz="8" w:space="0"/>
            </w:tcBorders>
            <w:vAlign w:val="center"/>
          </w:tcPr>
          <w:p w14:paraId="74904A3B">
            <w:pPr>
              <w:widowControl/>
              <w:jc w:val="center"/>
              <w:rPr>
                <w:rFonts w:eastAsia="宋体" w:cs="Times New Roman"/>
                <w:sz w:val="18"/>
                <w:szCs w:val="18"/>
                <w:lang w:eastAsia="zh-CN" w:bidi="ar-SA"/>
              </w:rPr>
            </w:pPr>
            <w:r>
              <w:rPr>
                <w:rFonts w:eastAsia="宋体" w:cs="Times New Roman"/>
                <w:sz w:val="18"/>
                <w:szCs w:val="18"/>
                <w:lang w:eastAsia="zh-CN" w:bidi="ar-SA"/>
              </w:rPr>
              <w:t>0</w:t>
            </w:r>
          </w:p>
        </w:tc>
        <w:tc>
          <w:tcPr>
            <w:tcW w:w="901" w:type="dxa"/>
            <w:tcBorders>
              <w:top w:val="single" w:color="auto" w:sz="8" w:space="0"/>
              <w:bottom w:val="single" w:color="auto" w:sz="8" w:space="0"/>
            </w:tcBorders>
            <w:vAlign w:val="center"/>
          </w:tcPr>
          <w:p w14:paraId="20062656">
            <w:pPr>
              <w:widowControl/>
              <w:jc w:val="center"/>
              <w:rPr>
                <w:rFonts w:eastAsia="宋体" w:cs="Times New Roman"/>
                <w:sz w:val="18"/>
                <w:szCs w:val="18"/>
                <w:lang w:eastAsia="zh-CN" w:bidi="ar-SA"/>
              </w:rPr>
            </w:pPr>
            <w:r>
              <w:rPr>
                <w:rFonts w:eastAsia="宋体" w:cs="Times New Roman"/>
                <w:sz w:val="18"/>
                <w:szCs w:val="18"/>
                <w:lang w:eastAsia="zh-CN" w:bidi="ar-SA"/>
              </w:rPr>
              <w:t>1</w:t>
            </w:r>
          </w:p>
        </w:tc>
        <w:tc>
          <w:tcPr>
            <w:tcW w:w="797" w:type="dxa"/>
            <w:tcBorders>
              <w:top w:val="single" w:color="auto" w:sz="8" w:space="0"/>
              <w:bottom w:val="single" w:color="auto" w:sz="8" w:space="0"/>
            </w:tcBorders>
            <w:vAlign w:val="center"/>
          </w:tcPr>
          <w:p w14:paraId="62D6F23C">
            <w:pPr>
              <w:widowControl/>
              <w:jc w:val="center"/>
              <w:rPr>
                <w:rFonts w:eastAsia="宋体" w:cs="Times New Roman"/>
                <w:sz w:val="18"/>
                <w:szCs w:val="18"/>
                <w:lang w:eastAsia="zh-CN" w:bidi="ar-SA"/>
              </w:rPr>
            </w:pPr>
            <w:r>
              <w:rPr>
                <w:rFonts w:eastAsia="宋体" w:cs="Times New Roman"/>
                <w:sz w:val="18"/>
                <w:szCs w:val="18"/>
                <w:lang w:eastAsia="zh-CN" w:bidi="ar-SA"/>
              </w:rPr>
              <w:t>2</w:t>
            </w:r>
          </w:p>
        </w:tc>
        <w:tc>
          <w:tcPr>
            <w:tcW w:w="901" w:type="dxa"/>
            <w:tcBorders>
              <w:top w:val="single" w:color="auto" w:sz="8" w:space="0"/>
              <w:bottom w:val="single" w:color="auto" w:sz="8" w:space="0"/>
            </w:tcBorders>
            <w:vAlign w:val="center"/>
          </w:tcPr>
          <w:p w14:paraId="6C694F92">
            <w:pPr>
              <w:widowControl/>
              <w:jc w:val="center"/>
              <w:rPr>
                <w:rFonts w:eastAsia="宋体" w:cs="Times New Roman"/>
                <w:sz w:val="18"/>
                <w:szCs w:val="18"/>
                <w:lang w:eastAsia="zh-CN" w:bidi="ar-SA"/>
              </w:rPr>
            </w:pPr>
            <w:r>
              <w:rPr>
                <w:rFonts w:eastAsia="宋体" w:cs="Times New Roman"/>
                <w:sz w:val="18"/>
                <w:szCs w:val="18"/>
                <w:lang w:eastAsia="zh-CN" w:bidi="ar-SA"/>
              </w:rPr>
              <w:t>3</w:t>
            </w:r>
          </w:p>
        </w:tc>
        <w:tc>
          <w:tcPr>
            <w:tcW w:w="797" w:type="dxa"/>
            <w:tcBorders>
              <w:top w:val="single" w:color="auto" w:sz="8" w:space="0"/>
              <w:bottom w:val="single" w:color="auto" w:sz="8" w:space="0"/>
            </w:tcBorders>
            <w:vAlign w:val="center"/>
          </w:tcPr>
          <w:p w14:paraId="338A7274">
            <w:pPr>
              <w:widowControl/>
              <w:jc w:val="center"/>
              <w:rPr>
                <w:rFonts w:eastAsia="宋体" w:cs="Times New Roman"/>
                <w:sz w:val="18"/>
                <w:szCs w:val="18"/>
                <w:lang w:eastAsia="zh-CN" w:bidi="ar-SA"/>
              </w:rPr>
            </w:pPr>
            <w:r>
              <w:rPr>
                <w:rFonts w:eastAsia="宋体" w:cs="Times New Roman"/>
                <w:sz w:val="18"/>
                <w:szCs w:val="18"/>
                <w:lang w:eastAsia="zh-CN" w:bidi="ar-SA"/>
              </w:rPr>
              <w:t>4</w:t>
            </w:r>
          </w:p>
        </w:tc>
        <w:tc>
          <w:tcPr>
            <w:tcW w:w="798" w:type="dxa"/>
            <w:tcBorders>
              <w:top w:val="single" w:color="auto" w:sz="8" w:space="0"/>
              <w:bottom w:val="single" w:color="auto" w:sz="8" w:space="0"/>
            </w:tcBorders>
            <w:vAlign w:val="center"/>
          </w:tcPr>
          <w:p w14:paraId="423FBEFB">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2" w:type="dxa"/>
            <w:tcBorders>
              <w:top w:val="single" w:color="auto" w:sz="8" w:space="0"/>
              <w:bottom w:val="single" w:color="auto" w:sz="8" w:space="0"/>
            </w:tcBorders>
            <w:vAlign w:val="center"/>
          </w:tcPr>
          <w:p w14:paraId="2DFB4F30">
            <w:pPr>
              <w:widowControl/>
              <w:jc w:val="center"/>
              <w:rPr>
                <w:rFonts w:eastAsia="宋体" w:cs="Times New Roman"/>
                <w:sz w:val="18"/>
                <w:szCs w:val="18"/>
                <w:lang w:eastAsia="zh-CN" w:bidi="ar-SA"/>
              </w:rPr>
            </w:pPr>
            <w:r>
              <w:rPr>
                <w:rFonts w:eastAsia="宋体" w:cs="Times New Roman"/>
                <w:sz w:val="18"/>
                <w:szCs w:val="18"/>
                <w:lang w:eastAsia="zh-CN" w:bidi="ar-SA"/>
              </w:rPr>
              <w:t>6</w:t>
            </w:r>
          </w:p>
        </w:tc>
        <w:tc>
          <w:tcPr>
            <w:tcW w:w="765" w:type="dxa"/>
            <w:tcBorders>
              <w:top w:val="single" w:color="auto" w:sz="8" w:space="0"/>
              <w:bottom w:val="single" w:color="auto" w:sz="8" w:space="0"/>
            </w:tcBorders>
          </w:tcPr>
          <w:p w14:paraId="1DB64644">
            <w:pPr>
              <w:widowControl/>
              <w:jc w:val="center"/>
              <w:rPr>
                <w:rFonts w:eastAsia="宋体" w:cs="Times New Roman"/>
                <w:sz w:val="18"/>
                <w:szCs w:val="18"/>
                <w:lang w:eastAsia="zh-CN" w:bidi="ar-SA"/>
              </w:rPr>
            </w:pPr>
            <w:r>
              <w:rPr>
                <w:rFonts w:hint="eastAsia" w:eastAsia="宋体" w:cs="Times New Roman"/>
                <w:sz w:val="18"/>
                <w:szCs w:val="18"/>
                <w:lang w:eastAsia="zh-CN" w:bidi="ar-SA"/>
              </w:rPr>
              <w:t>7</w:t>
            </w:r>
          </w:p>
        </w:tc>
      </w:tr>
      <w:tr w14:paraId="31F098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691" w:type="dxa"/>
            <w:tcBorders>
              <w:top w:val="single" w:color="auto" w:sz="8" w:space="0"/>
            </w:tcBorders>
            <w:vAlign w:val="center"/>
          </w:tcPr>
          <w:p w14:paraId="22501C53">
            <w:pPr>
              <w:widowControl/>
              <w:jc w:val="both"/>
              <w:rPr>
                <w:rFonts w:eastAsia="宋体" w:cs="Times New Roman"/>
                <w:sz w:val="18"/>
                <w:szCs w:val="18"/>
                <w:lang w:eastAsia="zh-CN" w:bidi="ar-SA"/>
              </w:rPr>
            </w:pPr>
            <w:bookmarkStart w:id="3" w:name="_Hlk217481360"/>
            <w:r>
              <w:rPr>
                <w:rFonts w:hint="eastAsia" w:eastAsia="宋体" w:cs="Times New Roman"/>
                <w:sz w:val="18"/>
                <w:szCs w:val="18"/>
                <w:lang w:eastAsia="zh-CN" w:bidi="ar-SA"/>
              </w:rPr>
              <w:t>麦芽糖溶液(mL)</w:t>
            </w:r>
          </w:p>
        </w:tc>
        <w:tc>
          <w:tcPr>
            <w:tcW w:w="850" w:type="dxa"/>
            <w:tcBorders>
              <w:top w:val="single" w:color="auto" w:sz="8" w:space="0"/>
            </w:tcBorders>
            <w:vAlign w:val="center"/>
          </w:tcPr>
          <w:p w14:paraId="34E1480E">
            <w:pPr>
              <w:widowControl/>
              <w:jc w:val="center"/>
              <w:rPr>
                <w:rFonts w:eastAsia="宋体" w:cs="Times New Roman"/>
                <w:sz w:val="18"/>
                <w:szCs w:val="18"/>
                <w:lang w:eastAsia="zh-CN" w:bidi="ar-SA"/>
              </w:rPr>
            </w:pPr>
            <w:r>
              <w:rPr>
                <w:rFonts w:eastAsia="宋体" w:cs="Times New Roman"/>
                <w:sz w:val="18"/>
                <w:szCs w:val="18"/>
                <w:lang w:eastAsia="zh-CN" w:bidi="ar-SA"/>
              </w:rPr>
              <w:t>0</w:t>
            </w:r>
          </w:p>
        </w:tc>
        <w:tc>
          <w:tcPr>
            <w:tcW w:w="901" w:type="dxa"/>
            <w:tcBorders>
              <w:top w:val="single" w:color="auto" w:sz="8" w:space="0"/>
            </w:tcBorders>
            <w:vAlign w:val="center"/>
          </w:tcPr>
          <w:p w14:paraId="1818439B">
            <w:pPr>
              <w:widowControl/>
              <w:jc w:val="center"/>
              <w:rPr>
                <w:rFonts w:eastAsia="宋体" w:cs="Times New Roman"/>
                <w:sz w:val="18"/>
                <w:szCs w:val="18"/>
                <w:lang w:eastAsia="zh-CN" w:bidi="ar-SA"/>
              </w:rPr>
            </w:pPr>
            <w:r>
              <w:rPr>
                <w:rFonts w:eastAsia="宋体" w:cs="Times New Roman"/>
                <w:sz w:val="18"/>
                <w:szCs w:val="18"/>
                <w:lang w:eastAsia="zh-CN" w:bidi="ar-SA"/>
              </w:rPr>
              <w:t>1</w:t>
            </w:r>
          </w:p>
        </w:tc>
        <w:tc>
          <w:tcPr>
            <w:tcW w:w="797" w:type="dxa"/>
            <w:tcBorders>
              <w:top w:val="single" w:color="auto" w:sz="8" w:space="0"/>
            </w:tcBorders>
            <w:vAlign w:val="center"/>
          </w:tcPr>
          <w:p w14:paraId="3E696F36">
            <w:pPr>
              <w:widowControl/>
              <w:jc w:val="center"/>
              <w:rPr>
                <w:rFonts w:eastAsia="宋体" w:cs="Times New Roman"/>
                <w:sz w:val="18"/>
                <w:szCs w:val="18"/>
                <w:lang w:eastAsia="zh-CN" w:bidi="ar-SA"/>
              </w:rPr>
            </w:pPr>
            <w:r>
              <w:rPr>
                <w:rFonts w:eastAsia="宋体" w:cs="Times New Roman"/>
                <w:sz w:val="18"/>
                <w:szCs w:val="18"/>
                <w:lang w:eastAsia="zh-CN" w:bidi="ar-SA"/>
              </w:rPr>
              <w:t>2</w:t>
            </w:r>
          </w:p>
        </w:tc>
        <w:tc>
          <w:tcPr>
            <w:tcW w:w="901" w:type="dxa"/>
            <w:tcBorders>
              <w:top w:val="single" w:color="auto" w:sz="8" w:space="0"/>
            </w:tcBorders>
            <w:vAlign w:val="center"/>
          </w:tcPr>
          <w:p w14:paraId="15BEAFD6">
            <w:pPr>
              <w:widowControl/>
              <w:jc w:val="center"/>
              <w:rPr>
                <w:rFonts w:eastAsia="宋体" w:cs="Times New Roman"/>
                <w:sz w:val="18"/>
                <w:szCs w:val="18"/>
                <w:lang w:eastAsia="zh-CN" w:bidi="ar-SA"/>
              </w:rPr>
            </w:pPr>
            <w:r>
              <w:rPr>
                <w:rFonts w:eastAsia="宋体" w:cs="Times New Roman"/>
                <w:sz w:val="18"/>
                <w:szCs w:val="18"/>
                <w:lang w:eastAsia="zh-CN" w:bidi="ar-SA"/>
              </w:rPr>
              <w:t>3</w:t>
            </w:r>
          </w:p>
        </w:tc>
        <w:tc>
          <w:tcPr>
            <w:tcW w:w="797" w:type="dxa"/>
            <w:tcBorders>
              <w:top w:val="single" w:color="auto" w:sz="8" w:space="0"/>
            </w:tcBorders>
            <w:vAlign w:val="center"/>
          </w:tcPr>
          <w:p w14:paraId="141C51CF">
            <w:pPr>
              <w:widowControl/>
              <w:jc w:val="center"/>
              <w:rPr>
                <w:rFonts w:eastAsia="宋体" w:cs="Times New Roman"/>
                <w:sz w:val="18"/>
                <w:szCs w:val="18"/>
                <w:lang w:eastAsia="zh-CN" w:bidi="ar-SA"/>
              </w:rPr>
            </w:pPr>
            <w:r>
              <w:rPr>
                <w:rFonts w:eastAsia="宋体" w:cs="Times New Roman"/>
                <w:sz w:val="18"/>
                <w:szCs w:val="18"/>
                <w:lang w:eastAsia="zh-CN" w:bidi="ar-SA"/>
              </w:rPr>
              <w:t>4</w:t>
            </w:r>
          </w:p>
        </w:tc>
        <w:tc>
          <w:tcPr>
            <w:tcW w:w="798" w:type="dxa"/>
            <w:tcBorders>
              <w:top w:val="single" w:color="auto" w:sz="8" w:space="0"/>
            </w:tcBorders>
            <w:vAlign w:val="center"/>
          </w:tcPr>
          <w:p w14:paraId="548BE443">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2" w:type="dxa"/>
            <w:tcBorders>
              <w:top w:val="single" w:color="auto" w:sz="8" w:space="0"/>
            </w:tcBorders>
            <w:vAlign w:val="center"/>
          </w:tcPr>
          <w:p w14:paraId="594472AC">
            <w:pPr>
              <w:widowControl/>
              <w:jc w:val="center"/>
              <w:rPr>
                <w:rFonts w:eastAsia="宋体" w:cs="Times New Roman"/>
                <w:sz w:val="18"/>
                <w:szCs w:val="18"/>
                <w:lang w:eastAsia="zh-CN" w:bidi="ar-SA"/>
              </w:rPr>
            </w:pPr>
            <w:r>
              <w:rPr>
                <w:rFonts w:eastAsia="宋体" w:cs="Times New Roman"/>
                <w:sz w:val="18"/>
                <w:szCs w:val="18"/>
                <w:lang w:eastAsia="zh-CN" w:bidi="ar-SA"/>
              </w:rPr>
              <w:t>6</w:t>
            </w:r>
          </w:p>
        </w:tc>
        <w:tc>
          <w:tcPr>
            <w:tcW w:w="765" w:type="dxa"/>
            <w:tcBorders>
              <w:top w:val="single" w:color="auto" w:sz="8" w:space="0"/>
            </w:tcBorders>
          </w:tcPr>
          <w:p w14:paraId="3394E889">
            <w:pPr>
              <w:widowControl/>
              <w:jc w:val="center"/>
              <w:rPr>
                <w:rFonts w:eastAsia="宋体" w:cs="Times New Roman"/>
                <w:sz w:val="18"/>
                <w:szCs w:val="18"/>
                <w:lang w:eastAsia="zh-CN" w:bidi="ar-SA"/>
              </w:rPr>
            </w:pPr>
            <w:r>
              <w:rPr>
                <w:rFonts w:hint="eastAsia" w:eastAsia="宋体" w:cs="Times New Roman"/>
                <w:sz w:val="18"/>
                <w:szCs w:val="18"/>
                <w:lang w:eastAsia="zh-CN" w:bidi="ar-SA"/>
              </w:rPr>
              <w:t>7</w:t>
            </w:r>
          </w:p>
        </w:tc>
      </w:tr>
      <w:tr w14:paraId="235E09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691" w:type="dxa"/>
            <w:vAlign w:val="center"/>
          </w:tcPr>
          <w:p w14:paraId="0DF39D05">
            <w:pPr>
              <w:widowControl/>
              <w:jc w:val="both"/>
              <w:rPr>
                <w:rFonts w:eastAsia="宋体" w:cs="Times New Roman"/>
                <w:sz w:val="18"/>
                <w:szCs w:val="18"/>
                <w:lang w:eastAsia="zh-CN" w:bidi="ar-SA"/>
              </w:rPr>
            </w:pPr>
            <w:r>
              <w:rPr>
                <w:rFonts w:hint="eastAsia" w:eastAsia="宋体" w:cs="Times New Roman"/>
                <w:sz w:val="18"/>
                <w:szCs w:val="18"/>
                <w:lang w:eastAsia="zh-CN" w:bidi="ar-SA"/>
              </w:rPr>
              <w:t>蒸馏水(mL)</w:t>
            </w:r>
          </w:p>
        </w:tc>
        <w:tc>
          <w:tcPr>
            <w:tcW w:w="850" w:type="dxa"/>
            <w:vAlign w:val="center"/>
          </w:tcPr>
          <w:p w14:paraId="3F1F39D6">
            <w:pPr>
              <w:widowControl/>
              <w:jc w:val="center"/>
              <w:rPr>
                <w:rFonts w:eastAsia="宋体" w:cs="Times New Roman"/>
                <w:sz w:val="18"/>
                <w:szCs w:val="18"/>
                <w:lang w:eastAsia="zh-CN" w:bidi="ar-SA"/>
              </w:rPr>
            </w:pPr>
            <w:r>
              <w:rPr>
                <w:rFonts w:eastAsia="宋体" w:cs="Times New Roman"/>
                <w:sz w:val="18"/>
                <w:szCs w:val="18"/>
                <w:lang w:eastAsia="zh-CN" w:bidi="ar-SA"/>
              </w:rPr>
              <w:t>7</w:t>
            </w:r>
          </w:p>
        </w:tc>
        <w:tc>
          <w:tcPr>
            <w:tcW w:w="901" w:type="dxa"/>
            <w:vAlign w:val="center"/>
          </w:tcPr>
          <w:p w14:paraId="00736182">
            <w:pPr>
              <w:widowControl/>
              <w:jc w:val="center"/>
              <w:rPr>
                <w:rFonts w:eastAsia="宋体" w:cs="Times New Roman"/>
                <w:sz w:val="18"/>
                <w:szCs w:val="18"/>
                <w:lang w:eastAsia="zh-CN" w:bidi="ar-SA"/>
              </w:rPr>
            </w:pPr>
            <w:r>
              <w:rPr>
                <w:rFonts w:eastAsia="宋体" w:cs="Times New Roman"/>
                <w:sz w:val="18"/>
                <w:szCs w:val="18"/>
                <w:lang w:eastAsia="zh-CN" w:bidi="ar-SA"/>
              </w:rPr>
              <w:t>6</w:t>
            </w:r>
          </w:p>
        </w:tc>
        <w:tc>
          <w:tcPr>
            <w:tcW w:w="797" w:type="dxa"/>
            <w:vAlign w:val="center"/>
          </w:tcPr>
          <w:p w14:paraId="3F9D927F">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901" w:type="dxa"/>
            <w:vAlign w:val="center"/>
          </w:tcPr>
          <w:p w14:paraId="27FFC982">
            <w:pPr>
              <w:widowControl/>
              <w:jc w:val="center"/>
              <w:rPr>
                <w:rFonts w:eastAsia="宋体" w:cs="Times New Roman"/>
                <w:sz w:val="18"/>
                <w:szCs w:val="18"/>
                <w:lang w:eastAsia="zh-CN" w:bidi="ar-SA"/>
              </w:rPr>
            </w:pPr>
            <w:r>
              <w:rPr>
                <w:rFonts w:eastAsia="宋体" w:cs="Times New Roman"/>
                <w:sz w:val="18"/>
                <w:szCs w:val="18"/>
                <w:lang w:eastAsia="zh-CN" w:bidi="ar-SA"/>
              </w:rPr>
              <w:t>4</w:t>
            </w:r>
          </w:p>
        </w:tc>
        <w:tc>
          <w:tcPr>
            <w:tcW w:w="797" w:type="dxa"/>
            <w:vAlign w:val="center"/>
          </w:tcPr>
          <w:p w14:paraId="2E916F5B">
            <w:pPr>
              <w:widowControl/>
              <w:jc w:val="center"/>
              <w:rPr>
                <w:rFonts w:eastAsia="宋体" w:cs="Times New Roman"/>
                <w:sz w:val="18"/>
                <w:szCs w:val="18"/>
                <w:lang w:eastAsia="zh-CN" w:bidi="ar-SA"/>
              </w:rPr>
            </w:pPr>
            <w:r>
              <w:rPr>
                <w:rFonts w:eastAsia="宋体" w:cs="Times New Roman"/>
                <w:sz w:val="18"/>
                <w:szCs w:val="18"/>
                <w:lang w:eastAsia="zh-CN" w:bidi="ar-SA"/>
              </w:rPr>
              <w:t>3</w:t>
            </w:r>
          </w:p>
        </w:tc>
        <w:tc>
          <w:tcPr>
            <w:tcW w:w="798" w:type="dxa"/>
            <w:vAlign w:val="center"/>
          </w:tcPr>
          <w:p w14:paraId="61605288">
            <w:pPr>
              <w:widowControl/>
              <w:jc w:val="center"/>
              <w:rPr>
                <w:rFonts w:eastAsia="宋体" w:cs="Times New Roman"/>
                <w:sz w:val="18"/>
                <w:szCs w:val="18"/>
                <w:lang w:eastAsia="zh-CN" w:bidi="ar-SA"/>
              </w:rPr>
            </w:pPr>
            <w:r>
              <w:rPr>
                <w:rFonts w:eastAsia="宋体" w:cs="Times New Roman"/>
                <w:sz w:val="18"/>
                <w:szCs w:val="18"/>
                <w:lang w:eastAsia="zh-CN" w:bidi="ar-SA"/>
              </w:rPr>
              <w:t>2</w:t>
            </w:r>
          </w:p>
        </w:tc>
        <w:tc>
          <w:tcPr>
            <w:tcW w:w="792" w:type="dxa"/>
            <w:vAlign w:val="center"/>
          </w:tcPr>
          <w:p w14:paraId="372CE78C">
            <w:pPr>
              <w:widowControl/>
              <w:jc w:val="center"/>
              <w:rPr>
                <w:rFonts w:eastAsia="宋体" w:cs="Times New Roman"/>
                <w:sz w:val="18"/>
                <w:szCs w:val="18"/>
                <w:lang w:eastAsia="zh-CN" w:bidi="ar-SA"/>
              </w:rPr>
            </w:pPr>
            <w:r>
              <w:rPr>
                <w:rFonts w:eastAsia="宋体" w:cs="Times New Roman"/>
                <w:sz w:val="18"/>
                <w:szCs w:val="18"/>
                <w:lang w:eastAsia="zh-CN" w:bidi="ar-SA"/>
              </w:rPr>
              <w:t>1</w:t>
            </w:r>
          </w:p>
        </w:tc>
        <w:tc>
          <w:tcPr>
            <w:tcW w:w="765" w:type="dxa"/>
          </w:tcPr>
          <w:p w14:paraId="05309DFB">
            <w:pPr>
              <w:widowControl/>
              <w:jc w:val="center"/>
              <w:rPr>
                <w:rFonts w:eastAsia="宋体" w:cs="Times New Roman"/>
                <w:sz w:val="18"/>
                <w:szCs w:val="18"/>
                <w:lang w:eastAsia="zh-CN" w:bidi="ar-SA"/>
              </w:rPr>
            </w:pPr>
            <w:r>
              <w:rPr>
                <w:rFonts w:hint="eastAsia" w:eastAsia="宋体" w:cs="Times New Roman"/>
                <w:sz w:val="18"/>
                <w:szCs w:val="18"/>
                <w:lang w:eastAsia="zh-CN" w:bidi="ar-SA"/>
              </w:rPr>
              <w:t>0</w:t>
            </w:r>
          </w:p>
        </w:tc>
      </w:tr>
      <w:tr w14:paraId="31D386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691" w:type="dxa"/>
            <w:vAlign w:val="center"/>
          </w:tcPr>
          <w:p w14:paraId="5376512B">
            <w:pPr>
              <w:widowControl/>
              <w:jc w:val="both"/>
              <w:rPr>
                <w:rFonts w:eastAsia="宋体" w:cs="Times New Roman"/>
                <w:sz w:val="18"/>
                <w:szCs w:val="18"/>
                <w:lang w:eastAsia="zh-CN" w:bidi="ar-SA"/>
              </w:rPr>
            </w:pPr>
            <w:r>
              <w:rPr>
                <w:rFonts w:hint="eastAsia" w:eastAsia="宋体" w:cs="Times New Roman"/>
                <w:sz w:val="18"/>
                <w:szCs w:val="18"/>
                <w:lang w:eastAsia="zh-CN" w:bidi="ar-SA"/>
              </w:rPr>
              <w:t>磷酸缓冲液（mL）</w:t>
            </w:r>
          </w:p>
        </w:tc>
        <w:tc>
          <w:tcPr>
            <w:tcW w:w="850" w:type="dxa"/>
            <w:vAlign w:val="center"/>
          </w:tcPr>
          <w:p w14:paraId="5D07C4C0">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901" w:type="dxa"/>
            <w:vAlign w:val="center"/>
          </w:tcPr>
          <w:p w14:paraId="0027B80B">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797" w:type="dxa"/>
            <w:vAlign w:val="center"/>
          </w:tcPr>
          <w:p w14:paraId="3D90B0DB">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901" w:type="dxa"/>
            <w:vAlign w:val="center"/>
          </w:tcPr>
          <w:p w14:paraId="2FE00ED1">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797" w:type="dxa"/>
            <w:vAlign w:val="center"/>
          </w:tcPr>
          <w:p w14:paraId="3E62BE94">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798" w:type="dxa"/>
            <w:vAlign w:val="center"/>
          </w:tcPr>
          <w:p w14:paraId="6D277EF6">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792" w:type="dxa"/>
            <w:vAlign w:val="center"/>
          </w:tcPr>
          <w:p w14:paraId="29A0C858">
            <w:pPr>
              <w:widowControl/>
              <w:jc w:val="center"/>
              <w:rPr>
                <w:rFonts w:eastAsia="宋体" w:cs="Times New Roman"/>
                <w:sz w:val="18"/>
                <w:szCs w:val="18"/>
                <w:lang w:eastAsia="zh-CN" w:bidi="ar-SA"/>
              </w:rPr>
            </w:pPr>
            <w:r>
              <w:rPr>
                <w:rFonts w:eastAsia="宋体" w:cs="Times New Roman"/>
                <w:sz w:val="18"/>
                <w:szCs w:val="18"/>
                <w:lang w:eastAsia="zh-CN" w:bidi="ar-SA"/>
              </w:rPr>
              <w:t>2.5</w:t>
            </w:r>
          </w:p>
        </w:tc>
        <w:tc>
          <w:tcPr>
            <w:tcW w:w="765" w:type="dxa"/>
          </w:tcPr>
          <w:p w14:paraId="1D8F2D08">
            <w:pPr>
              <w:widowControl/>
              <w:jc w:val="center"/>
              <w:rPr>
                <w:rFonts w:eastAsia="宋体" w:cs="Times New Roman"/>
                <w:sz w:val="18"/>
                <w:szCs w:val="18"/>
                <w:lang w:eastAsia="zh-CN" w:bidi="ar-SA"/>
              </w:rPr>
            </w:pPr>
            <w:r>
              <w:rPr>
                <w:rFonts w:hint="eastAsia" w:eastAsia="宋体" w:cs="Times New Roman"/>
                <w:sz w:val="18"/>
                <w:szCs w:val="18"/>
                <w:lang w:eastAsia="zh-CN" w:bidi="ar-SA"/>
              </w:rPr>
              <w:t>2.5</w:t>
            </w:r>
          </w:p>
        </w:tc>
      </w:tr>
      <w:tr w14:paraId="46D61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691" w:type="dxa"/>
            <w:vAlign w:val="center"/>
          </w:tcPr>
          <w:p w14:paraId="5D28531F">
            <w:pPr>
              <w:widowControl/>
              <w:jc w:val="both"/>
              <w:rPr>
                <w:rFonts w:eastAsia="宋体" w:cs="Times New Roman"/>
                <w:sz w:val="18"/>
                <w:szCs w:val="18"/>
                <w:lang w:eastAsia="zh-CN" w:bidi="ar-SA"/>
              </w:rPr>
            </w:pPr>
            <w:r>
              <w:rPr>
                <w:rFonts w:hint="eastAsia" w:eastAsia="宋体" w:cs="Times New Roman"/>
                <w:sz w:val="18"/>
                <w:szCs w:val="18"/>
                <w:lang w:eastAsia="zh-CN" w:bidi="ar-SA"/>
              </w:rPr>
              <w:t>0.1mol/L 盐酸（mL）</w:t>
            </w:r>
          </w:p>
        </w:tc>
        <w:tc>
          <w:tcPr>
            <w:tcW w:w="850" w:type="dxa"/>
            <w:vAlign w:val="center"/>
          </w:tcPr>
          <w:p w14:paraId="57C9E293">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901" w:type="dxa"/>
            <w:vAlign w:val="center"/>
          </w:tcPr>
          <w:p w14:paraId="312D39E2">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7" w:type="dxa"/>
            <w:vAlign w:val="center"/>
          </w:tcPr>
          <w:p w14:paraId="6C8444FD">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901" w:type="dxa"/>
            <w:vAlign w:val="center"/>
          </w:tcPr>
          <w:p w14:paraId="07BAC764">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7" w:type="dxa"/>
            <w:vAlign w:val="center"/>
          </w:tcPr>
          <w:p w14:paraId="0E700A48">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8" w:type="dxa"/>
            <w:vAlign w:val="center"/>
          </w:tcPr>
          <w:p w14:paraId="0AAAF701">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92" w:type="dxa"/>
            <w:vAlign w:val="center"/>
          </w:tcPr>
          <w:p w14:paraId="678DFAF8">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765" w:type="dxa"/>
          </w:tcPr>
          <w:p w14:paraId="3C9F5243">
            <w:pPr>
              <w:widowControl/>
              <w:jc w:val="center"/>
              <w:rPr>
                <w:rFonts w:eastAsia="宋体" w:cs="Times New Roman"/>
                <w:sz w:val="18"/>
                <w:szCs w:val="18"/>
                <w:lang w:eastAsia="zh-CN" w:bidi="ar-SA"/>
              </w:rPr>
            </w:pPr>
            <w:r>
              <w:rPr>
                <w:rFonts w:hint="eastAsia" w:eastAsia="宋体" w:cs="Times New Roman"/>
                <w:sz w:val="18"/>
                <w:szCs w:val="18"/>
                <w:lang w:eastAsia="zh-CN" w:bidi="ar-SA"/>
              </w:rPr>
              <w:t>5</w:t>
            </w:r>
          </w:p>
        </w:tc>
      </w:tr>
      <w:bookmarkEnd w:id="3"/>
    </w:tbl>
    <w:p w14:paraId="46B6F5C2">
      <w:pPr>
        <w:spacing w:line="360" w:lineRule="auto"/>
        <w:ind w:firstLine="420" w:firstLineChars="200"/>
        <w:rPr>
          <w:rFonts w:eastAsia="宋体"/>
          <w:sz w:val="21"/>
          <w:szCs w:val="21"/>
          <w:lang w:eastAsia="zh-CN"/>
        </w:rPr>
      </w:pPr>
      <w:r>
        <w:rPr>
          <w:rFonts w:hint="eastAsia" w:eastAsia="宋体"/>
          <w:sz w:val="21"/>
          <w:szCs w:val="21"/>
          <w:lang w:eastAsia="zh-CN"/>
        </w:rPr>
        <w:t>测得</w:t>
      </w:r>
      <w:r>
        <w:rPr>
          <w:rFonts w:eastAsia="宋体"/>
          <w:sz w:val="21"/>
          <w:szCs w:val="21"/>
          <w:lang w:eastAsia="zh-CN"/>
        </w:rPr>
        <w:t>不同浓度麦芽糖的吸光值结果见</w:t>
      </w:r>
      <w:r>
        <w:rPr>
          <w:rFonts w:hint="eastAsia" w:eastAsia="宋体"/>
          <w:sz w:val="21"/>
          <w:szCs w:val="21"/>
          <w:lang w:eastAsia="zh-CN"/>
        </w:rPr>
        <w:t>下表。</w:t>
      </w:r>
    </w:p>
    <w:tbl>
      <w:tblPr>
        <w:tblStyle w:val="31"/>
        <w:tblW w:w="835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303"/>
        <w:gridCol w:w="393"/>
        <w:gridCol w:w="910"/>
        <w:gridCol w:w="964"/>
        <w:gridCol w:w="986"/>
        <w:gridCol w:w="986"/>
        <w:gridCol w:w="987"/>
        <w:gridCol w:w="910"/>
        <w:gridCol w:w="915"/>
      </w:tblGrid>
      <w:tr w14:paraId="3DC97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381" w:type="dxa"/>
            <w:tcBorders>
              <w:top w:val="single" w:color="auto" w:sz="8" w:space="0"/>
              <w:bottom w:val="single" w:color="auto" w:sz="8" w:space="0"/>
            </w:tcBorders>
            <w:vAlign w:val="center"/>
          </w:tcPr>
          <w:p w14:paraId="235B2C2D">
            <w:pPr>
              <w:widowControl/>
              <w:jc w:val="both"/>
              <w:rPr>
                <w:rFonts w:eastAsia="宋体" w:cs="Times New Roman"/>
                <w:sz w:val="18"/>
                <w:szCs w:val="18"/>
                <w:lang w:eastAsia="zh-CN" w:bidi="ar-SA"/>
              </w:rPr>
            </w:pPr>
            <w:r>
              <w:rPr>
                <w:rFonts w:hint="eastAsia" w:eastAsia="宋体" w:cs="Times New Roman"/>
                <w:sz w:val="18"/>
                <w:szCs w:val="18"/>
                <w:lang w:eastAsia="zh-CN" w:bidi="ar-SA"/>
              </w:rPr>
              <w:t>编号</w:t>
            </w:r>
          </w:p>
        </w:tc>
        <w:tc>
          <w:tcPr>
            <w:tcW w:w="417" w:type="dxa"/>
            <w:tcBorders>
              <w:top w:val="single" w:color="auto" w:sz="8" w:space="0"/>
              <w:bottom w:val="single" w:color="auto" w:sz="8" w:space="0"/>
            </w:tcBorders>
            <w:vAlign w:val="center"/>
          </w:tcPr>
          <w:p w14:paraId="328BFCF4">
            <w:pPr>
              <w:widowControl/>
              <w:jc w:val="center"/>
              <w:rPr>
                <w:rFonts w:eastAsia="宋体" w:cs="Times New Roman"/>
                <w:sz w:val="18"/>
                <w:szCs w:val="18"/>
                <w:lang w:eastAsia="zh-CN" w:bidi="ar-SA"/>
              </w:rPr>
            </w:pPr>
            <w:r>
              <w:rPr>
                <w:rFonts w:eastAsia="宋体" w:cs="Times New Roman"/>
                <w:sz w:val="18"/>
                <w:szCs w:val="18"/>
                <w:lang w:eastAsia="zh-CN" w:bidi="ar-SA"/>
              </w:rPr>
              <w:t>0</w:t>
            </w:r>
          </w:p>
        </w:tc>
        <w:tc>
          <w:tcPr>
            <w:tcW w:w="910" w:type="dxa"/>
            <w:tcBorders>
              <w:top w:val="single" w:color="auto" w:sz="8" w:space="0"/>
              <w:bottom w:val="single" w:color="auto" w:sz="8" w:space="0"/>
            </w:tcBorders>
            <w:vAlign w:val="center"/>
          </w:tcPr>
          <w:p w14:paraId="77395ED4">
            <w:pPr>
              <w:widowControl/>
              <w:jc w:val="center"/>
              <w:rPr>
                <w:rFonts w:eastAsia="宋体" w:cs="Times New Roman"/>
                <w:sz w:val="18"/>
                <w:szCs w:val="18"/>
                <w:lang w:eastAsia="zh-CN" w:bidi="ar-SA"/>
              </w:rPr>
            </w:pPr>
            <w:r>
              <w:rPr>
                <w:rFonts w:eastAsia="宋体" w:cs="Times New Roman"/>
                <w:sz w:val="18"/>
                <w:szCs w:val="18"/>
                <w:lang w:eastAsia="zh-CN" w:bidi="ar-SA"/>
              </w:rPr>
              <w:t>1</w:t>
            </w:r>
          </w:p>
        </w:tc>
        <w:tc>
          <w:tcPr>
            <w:tcW w:w="968" w:type="dxa"/>
            <w:tcBorders>
              <w:top w:val="single" w:color="auto" w:sz="8" w:space="0"/>
              <w:bottom w:val="single" w:color="auto" w:sz="8" w:space="0"/>
            </w:tcBorders>
            <w:vAlign w:val="center"/>
          </w:tcPr>
          <w:p w14:paraId="2507B34D">
            <w:pPr>
              <w:widowControl/>
              <w:jc w:val="center"/>
              <w:rPr>
                <w:rFonts w:eastAsia="宋体" w:cs="Times New Roman"/>
                <w:sz w:val="18"/>
                <w:szCs w:val="18"/>
                <w:lang w:eastAsia="zh-CN" w:bidi="ar-SA"/>
              </w:rPr>
            </w:pPr>
            <w:r>
              <w:rPr>
                <w:rFonts w:eastAsia="宋体" w:cs="Times New Roman"/>
                <w:sz w:val="18"/>
                <w:szCs w:val="18"/>
                <w:lang w:eastAsia="zh-CN" w:bidi="ar-SA"/>
              </w:rPr>
              <w:t>2</w:t>
            </w:r>
          </w:p>
        </w:tc>
        <w:tc>
          <w:tcPr>
            <w:tcW w:w="992" w:type="dxa"/>
            <w:tcBorders>
              <w:top w:val="single" w:color="auto" w:sz="8" w:space="0"/>
              <w:bottom w:val="single" w:color="auto" w:sz="8" w:space="0"/>
            </w:tcBorders>
            <w:vAlign w:val="center"/>
          </w:tcPr>
          <w:p w14:paraId="1251B581">
            <w:pPr>
              <w:widowControl/>
              <w:jc w:val="center"/>
              <w:rPr>
                <w:rFonts w:eastAsia="宋体" w:cs="Times New Roman"/>
                <w:sz w:val="18"/>
                <w:szCs w:val="18"/>
                <w:lang w:eastAsia="zh-CN" w:bidi="ar-SA"/>
              </w:rPr>
            </w:pPr>
            <w:r>
              <w:rPr>
                <w:rFonts w:eastAsia="宋体" w:cs="Times New Roman"/>
                <w:sz w:val="18"/>
                <w:szCs w:val="18"/>
                <w:lang w:eastAsia="zh-CN" w:bidi="ar-SA"/>
              </w:rPr>
              <w:t>3</w:t>
            </w:r>
          </w:p>
        </w:tc>
        <w:tc>
          <w:tcPr>
            <w:tcW w:w="992" w:type="dxa"/>
            <w:tcBorders>
              <w:top w:val="single" w:color="auto" w:sz="8" w:space="0"/>
              <w:bottom w:val="single" w:color="auto" w:sz="8" w:space="0"/>
            </w:tcBorders>
            <w:vAlign w:val="center"/>
          </w:tcPr>
          <w:p w14:paraId="504C94FD">
            <w:pPr>
              <w:widowControl/>
              <w:jc w:val="center"/>
              <w:rPr>
                <w:rFonts w:eastAsia="宋体" w:cs="Times New Roman"/>
                <w:sz w:val="18"/>
                <w:szCs w:val="18"/>
                <w:lang w:eastAsia="zh-CN" w:bidi="ar-SA"/>
              </w:rPr>
            </w:pPr>
            <w:r>
              <w:rPr>
                <w:rFonts w:eastAsia="宋体" w:cs="Times New Roman"/>
                <w:sz w:val="18"/>
                <w:szCs w:val="18"/>
                <w:lang w:eastAsia="zh-CN" w:bidi="ar-SA"/>
              </w:rPr>
              <w:t>4</w:t>
            </w:r>
          </w:p>
        </w:tc>
        <w:tc>
          <w:tcPr>
            <w:tcW w:w="993" w:type="dxa"/>
            <w:tcBorders>
              <w:top w:val="single" w:color="auto" w:sz="8" w:space="0"/>
              <w:bottom w:val="single" w:color="auto" w:sz="8" w:space="0"/>
            </w:tcBorders>
            <w:vAlign w:val="center"/>
          </w:tcPr>
          <w:p w14:paraId="0EB1C416">
            <w:pPr>
              <w:widowControl/>
              <w:jc w:val="center"/>
              <w:rPr>
                <w:rFonts w:eastAsia="宋体" w:cs="Times New Roman"/>
                <w:sz w:val="18"/>
                <w:szCs w:val="18"/>
                <w:lang w:eastAsia="zh-CN" w:bidi="ar-SA"/>
              </w:rPr>
            </w:pPr>
            <w:r>
              <w:rPr>
                <w:rFonts w:eastAsia="宋体" w:cs="Times New Roman"/>
                <w:sz w:val="18"/>
                <w:szCs w:val="18"/>
                <w:lang w:eastAsia="zh-CN" w:bidi="ar-SA"/>
              </w:rPr>
              <w:t>5</w:t>
            </w:r>
          </w:p>
        </w:tc>
        <w:tc>
          <w:tcPr>
            <w:tcW w:w="910" w:type="dxa"/>
            <w:tcBorders>
              <w:top w:val="single" w:color="auto" w:sz="8" w:space="0"/>
              <w:bottom w:val="single" w:color="auto" w:sz="8" w:space="0"/>
            </w:tcBorders>
            <w:vAlign w:val="center"/>
          </w:tcPr>
          <w:p w14:paraId="2AD4E3E5">
            <w:pPr>
              <w:widowControl/>
              <w:jc w:val="center"/>
              <w:rPr>
                <w:rFonts w:eastAsia="宋体" w:cs="Times New Roman"/>
                <w:sz w:val="18"/>
                <w:szCs w:val="18"/>
                <w:lang w:eastAsia="zh-CN" w:bidi="ar-SA"/>
              </w:rPr>
            </w:pPr>
            <w:r>
              <w:rPr>
                <w:rFonts w:eastAsia="宋体" w:cs="Times New Roman"/>
                <w:sz w:val="18"/>
                <w:szCs w:val="18"/>
                <w:lang w:eastAsia="zh-CN" w:bidi="ar-SA"/>
              </w:rPr>
              <w:t>6</w:t>
            </w:r>
          </w:p>
        </w:tc>
        <w:tc>
          <w:tcPr>
            <w:tcW w:w="791" w:type="dxa"/>
            <w:tcBorders>
              <w:top w:val="single" w:color="auto" w:sz="8" w:space="0"/>
              <w:bottom w:val="single" w:color="auto" w:sz="8" w:space="0"/>
            </w:tcBorders>
          </w:tcPr>
          <w:p w14:paraId="3E949DD4">
            <w:pPr>
              <w:widowControl/>
              <w:jc w:val="center"/>
              <w:rPr>
                <w:rFonts w:eastAsia="宋体" w:cs="Times New Roman"/>
                <w:sz w:val="18"/>
                <w:szCs w:val="18"/>
                <w:lang w:eastAsia="zh-CN" w:bidi="ar-SA"/>
              </w:rPr>
            </w:pPr>
            <w:r>
              <w:rPr>
                <w:rFonts w:hint="eastAsia" w:eastAsia="宋体" w:cs="Times New Roman"/>
                <w:sz w:val="18"/>
                <w:szCs w:val="18"/>
                <w:lang w:eastAsia="zh-CN" w:bidi="ar-SA"/>
              </w:rPr>
              <w:t>7</w:t>
            </w:r>
          </w:p>
        </w:tc>
      </w:tr>
      <w:tr w14:paraId="29F58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381" w:type="dxa"/>
            <w:tcBorders>
              <w:top w:val="single" w:color="auto" w:sz="8" w:space="0"/>
            </w:tcBorders>
            <w:vAlign w:val="center"/>
          </w:tcPr>
          <w:p w14:paraId="4F20AD3A">
            <w:pPr>
              <w:widowControl/>
              <w:jc w:val="both"/>
              <w:rPr>
                <w:rFonts w:eastAsia="宋体" w:cs="Times New Roman"/>
                <w:sz w:val="18"/>
                <w:szCs w:val="18"/>
                <w:lang w:eastAsia="zh-CN" w:bidi="ar-SA"/>
              </w:rPr>
            </w:pPr>
            <w:r>
              <w:rPr>
                <w:rFonts w:hint="eastAsia" w:eastAsia="宋体" w:cs="Times New Roman"/>
                <w:sz w:val="18"/>
                <w:szCs w:val="18"/>
                <w:lang w:eastAsia="zh-CN" w:bidi="ar-SA"/>
              </w:rPr>
              <w:t>麦芽糖含量(mL)</w:t>
            </w:r>
          </w:p>
        </w:tc>
        <w:tc>
          <w:tcPr>
            <w:tcW w:w="417" w:type="dxa"/>
            <w:tcBorders>
              <w:top w:val="single" w:color="auto" w:sz="8" w:space="0"/>
            </w:tcBorders>
            <w:vAlign w:val="center"/>
          </w:tcPr>
          <w:p w14:paraId="32ED55E8">
            <w:pPr>
              <w:widowControl/>
              <w:jc w:val="center"/>
              <w:rPr>
                <w:rFonts w:eastAsia="宋体" w:cs="Times New Roman"/>
                <w:sz w:val="18"/>
                <w:szCs w:val="18"/>
                <w:lang w:eastAsia="zh-CN" w:bidi="ar-SA"/>
              </w:rPr>
            </w:pPr>
            <w:r>
              <w:rPr>
                <w:rFonts w:eastAsia="宋体" w:cs="Times New Roman"/>
                <w:sz w:val="18"/>
                <w:szCs w:val="18"/>
                <w:lang w:eastAsia="zh-CN" w:bidi="ar-SA"/>
              </w:rPr>
              <w:t>0</w:t>
            </w:r>
          </w:p>
        </w:tc>
        <w:tc>
          <w:tcPr>
            <w:tcW w:w="910" w:type="dxa"/>
            <w:tcBorders>
              <w:top w:val="single" w:color="auto" w:sz="8" w:space="0"/>
            </w:tcBorders>
            <w:vAlign w:val="center"/>
          </w:tcPr>
          <w:p w14:paraId="4A0C9A9E">
            <w:pPr>
              <w:widowControl/>
              <w:jc w:val="center"/>
              <w:rPr>
                <w:rFonts w:eastAsia="宋体" w:cs="Times New Roman"/>
                <w:sz w:val="18"/>
                <w:szCs w:val="18"/>
                <w:lang w:eastAsia="zh-CN" w:bidi="ar-SA"/>
              </w:rPr>
            </w:pPr>
            <w:r>
              <w:rPr>
                <w:rFonts w:eastAsia="宋体" w:cs="Times New Roman"/>
                <w:sz w:val="18"/>
                <w:szCs w:val="18"/>
                <w:lang w:eastAsia="zh-CN" w:bidi="ar-SA"/>
              </w:rPr>
              <w:t>0.00196384</w:t>
            </w:r>
          </w:p>
        </w:tc>
        <w:tc>
          <w:tcPr>
            <w:tcW w:w="968" w:type="dxa"/>
            <w:tcBorders>
              <w:top w:val="single" w:color="auto" w:sz="8" w:space="0"/>
            </w:tcBorders>
            <w:vAlign w:val="center"/>
          </w:tcPr>
          <w:p w14:paraId="3E13CBEE">
            <w:pPr>
              <w:widowControl/>
              <w:jc w:val="center"/>
              <w:rPr>
                <w:rFonts w:eastAsia="宋体" w:cs="Times New Roman"/>
                <w:sz w:val="18"/>
                <w:szCs w:val="18"/>
                <w:lang w:eastAsia="zh-CN" w:bidi="ar-SA"/>
              </w:rPr>
            </w:pPr>
            <w:r>
              <w:rPr>
                <w:rFonts w:eastAsia="宋体" w:cs="Times New Roman"/>
                <w:sz w:val="18"/>
                <w:szCs w:val="18"/>
                <w:lang w:eastAsia="zh-CN" w:bidi="ar-SA"/>
              </w:rPr>
              <w:t>0.0039276</w:t>
            </w:r>
            <w:r>
              <w:rPr>
                <w:rFonts w:hint="eastAsia" w:eastAsia="宋体" w:cs="Times New Roman"/>
                <w:sz w:val="18"/>
                <w:szCs w:val="18"/>
                <w:lang w:eastAsia="zh-CN" w:bidi="ar-SA"/>
              </w:rPr>
              <w:t>9</w:t>
            </w:r>
          </w:p>
        </w:tc>
        <w:tc>
          <w:tcPr>
            <w:tcW w:w="992" w:type="dxa"/>
            <w:tcBorders>
              <w:top w:val="single" w:color="auto" w:sz="8" w:space="0"/>
            </w:tcBorders>
            <w:vAlign w:val="center"/>
          </w:tcPr>
          <w:p w14:paraId="3BF41149">
            <w:pPr>
              <w:widowControl/>
              <w:jc w:val="center"/>
              <w:rPr>
                <w:rFonts w:eastAsia="宋体" w:cs="Times New Roman"/>
                <w:sz w:val="18"/>
                <w:szCs w:val="18"/>
                <w:lang w:eastAsia="zh-CN" w:bidi="ar-SA"/>
              </w:rPr>
            </w:pPr>
            <w:r>
              <w:rPr>
                <w:rFonts w:eastAsia="宋体" w:cs="Times New Roman"/>
                <w:sz w:val="18"/>
                <w:szCs w:val="18"/>
                <w:lang w:eastAsia="zh-CN" w:bidi="ar-SA"/>
              </w:rPr>
              <w:t>0.0058915</w:t>
            </w:r>
            <w:r>
              <w:rPr>
                <w:rFonts w:hint="eastAsia" w:eastAsia="宋体" w:cs="Times New Roman"/>
                <w:sz w:val="18"/>
                <w:szCs w:val="18"/>
                <w:lang w:eastAsia="zh-CN" w:bidi="ar-SA"/>
              </w:rPr>
              <w:t>3</w:t>
            </w:r>
          </w:p>
        </w:tc>
        <w:tc>
          <w:tcPr>
            <w:tcW w:w="992" w:type="dxa"/>
            <w:tcBorders>
              <w:top w:val="single" w:color="auto" w:sz="8" w:space="0"/>
            </w:tcBorders>
            <w:vAlign w:val="center"/>
          </w:tcPr>
          <w:p w14:paraId="24D83D96">
            <w:pPr>
              <w:widowControl/>
              <w:jc w:val="center"/>
              <w:rPr>
                <w:rFonts w:eastAsia="宋体" w:cs="Times New Roman"/>
                <w:sz w:val="18"/>
                <w:szCs w:val="18"/>
                <w:lang w:eastAsia="zh-CN" w:bidi="ar-SA"/>
              </w:rPr>
            </w:pPr>
            <w:r>
              <w:rPr>
                <w:rFonts w:eastAsia="宋体" w:cs="Times New Roman"/>
                <w:sz w:val="18"/>
                <w:szCs w:val="18"/>
                <w:lang w:eastAsia="zh-CN" w:bidi="ar-SA"/>
              </w:rPr>
              <w:t>0.00785537</w:t>
            </w:r>
          </w:p>
        </w:tc>
        <w:tc>
          <w:tcPr>
            <w:tcW w:w="993" w:type="dxa"/>
            <w:tcBorders>
              <w:top w:val="single" w:color="auto" w:sz="8" w:space="0"/>
            </w:tcBorders>
            <w:vAlign w:val="center"/>
          </w:tcPr>
          <w:p w14:paraId="4265CDE2">
            <w:pPr>
              <w:widowControl/>
              <w:jc w:val="center"/>
              <w:rPr>
                <w:rFonts w:eastAsia="宋体" w:cs="Times New Roman"/>
                <w:sz w:val="18"/>
                <w:szCs w:val="18"/>
                <w:lang w:eastAsia="zh-CN" w:bidi="ar-SA"/>
              </w:rPr>
            </w:pPr>
            <w:r>
              <w:rPr>
                <w:rFonts w:eastAsia="宋体" w:cs="Times New Roman"/>
                <w:sz w:val="18"/>
                <w:szCs w:val="18"/>
                <w:lang w:eastAsia="zh-CN" w:bidi="ar-SA"/>
              </w:rPr>
              <w:t>0.00981</w:t>
            </w:r>
            <w:r>
              <w:rPr>
                <w:rFonts w:hint="eastAsia" w:eastAsia="宋体" w:cs="Times New Roman"/>
                <w:sz w:val="18"/>
                <w:szCs w:val="18"/>
                <w:lang w:eastAsia="zh-CN" w:bidi="ar-SA"/>
              </w:rPr>
              <w:t>922</w:t>
            </w:r>
          </w:p>
        </w:tc>
        <w:tc>
          <w:tcPr>
            <w:tcW w:w="910" w:type="dxa"/>
            <w:tcBorders>
              <w:top w:val="single" w:color="auto" w:sz="8" w:space="0"/>
            </w:tcBorders>
            <w:vAlign w:val="center"/>
          </w:tcPr>
          <w:p w14:paraId="794E029E">
            <w:pPr>
              <w:widowControl/>
              <w:jc w:val="center"/>
              <w:rPr>
                <w:rFonts w:eastAsia="宋体" w:cs="Times New Roman"/>
                <w:sz w:val="18"/>
                <w:szCs w:val="18"/>
                <w:lang w:eastAsia="zh-CN" w:bidi="ar-SA"/>
              </w:rPr>
            </w:pPr>
            <w:r>
              <w:rPr>
                <w:rFonts w:eastAsia="宋体" w:cs="Times New Roman"/>
                <w:sz w:val="18"/>
                <w:szCs w:val="18"/>
                <w:lang w:eastAsia="zh-CN" w:bidi="ar-SA"/>
              </w:rPr>
              <w:t>0.011783</w:t>
            </w:r>
            <w:r>
              <w:rPr>
                <w:rFonts w:hint="eastAsia" w:eastAsia="宋体" w:cs="Times New Roman"/>
                <w:sz w:val="18"/>
                <w:szCs w:val="18"/>
                <w:lang w:eastAsia="zh-CN" w:bidi="ar-SA"/>
              </w:rPr>
              <w:t>06</w:t>
            </w:r>
          </w:p>
        </w:tc>
        <w:tc>
          <w:tcPr>
            <w:tcW w:w="791" w:type="dxa"/>
            <w:tcBorders>
              <w:top w:val="single" w:color="auto" w:sz="8" w:space="0"/>
            </w:tcBorders>
          </w:tcPr>
          <w:p w14:paraId="620C78B2">
            <w:pPr>
              <w:widowControl/>
              <w:jc w:val="center"/>
              <w:rPr>
                <w:rFonts w:eastAsia="宋体" w:cs="Times New Roman"/>
                <w:sz w:val="18"/>
                <w:szCs w:val="18"/>
                <w:lang w:eastAsia="zh-CN" w:bidi="ar-SA"/>
              </w:rPr>
            </w:pPr>
            <w:r>
              <w:rPr>
                <w:rFonts w:eastAsia="宋体" w:cs="Times New Roman"/>
                <w:sz w:val="18"/>
                <w:szCs w:val="18"/>
                <w:lang w:eastAsia="zh-CN" w:bidi="ar-SA"/>
              </w:rPr>
              <w:t>0.013746</w:t>
            </w:r>
            <w:r>
              <w:rPr>
                <w:rFonts w:hint="eastAsia" w:eastAsia="宋体" w:cs="Times New Roman"/>
                <w:sz w:val="18"/>
                <w:szCs w:val="18"/>
                <w:lang w:eastAsia="zh-CN" w:bidi="ar-SA"/>
              </w:rPr>
              <w:t>90</w:t>
            </w:r>
          </w:p>
        </w:tc>
      </w:tr>
      <w:tr w14:paraId="7FDE95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381" w:type="dxa"/>
            <w:vAlign w:val="center"/>
          </w:tcPr>
          <w:p w14:paraId="788DCA01">
            <w:pPr>
              <w:widowControl/>
              <w:jc w:val="both"/>
              <w:rPr>
                <w:rFonts w:eastAsia="宋体" w:cs="Times New Roman"/>
                <w:sz w:val="18"/>
                <w:szCs w:val="18"/>
                <w:lang w:eastAsia="zh-CN" w:bidi="ar-SA"/>
              </w:rPr>
            </w:pPr>
            <w:r>
              <w:rPr>
                <w:rFonts w:hint="eastAsia" w:eastAsia="宋体" w:cs="Times New Roman"/>
                <w:sz w:val="18"/>
                <w:szCs w:val="18"/>
                <w:lang w:eastAsia="zh-CN" w:bidi="ar-SA"/>
              </w:rPr>
              <w:t>吸光值</w:t>
            </w:r>
          </w:p>
        </w:tc>
        <w:tc>
          <w:tcPr>
            <w:tcW w:w="417" w:type="dxa"/>
            <w:vAlign w:val="center"/>
          </w:tcPr>
          <w:p w14:paraId="0A1F726A">
            <w:pPr>
              <w:widowControl/>
              <w:jc w:val="center"/>
              <w:rPr>
                <w:rFonts w:eastAsia="宋体" w:cs="Times New Roman"/>
                <w:sz w:val="18"/>
                <w:szCs w:val="18"/>
                <w:lang w:eastAsia="zh-CN" w:bidi="ar-SA"/>
              </w:rPr>
            </w:pPr>
            <w:r>
              <w:rPr>
                <w:rFonts w:hint="eastAsia" w:eastAsia="宋体" w:cs="Times New Roman"/>
                <w:sz w:val="18"/>
                <w:szCs w:val="18"/>
                <w:lang w:eastAsia="zh-CN" w:bidi="ar-SA"/>
              </w:rPr>
              <w:t>0</w:t>
            </w:r>
          </w:p>
        </w:tc>
        <w:tc>
          <w:tcPr>
            <w:tcW w:w="910" w:type="dxa"/>
            <w:vAlign w:val="center"/>
          </w:tcPr>
          <w:p w14:paraId="6C985F86">
            <w:pPr>
              <w:widowControl/>
              <w:jc w:val="center"/>
              <w:rPr>
                <w:rFonts w:eastAsia="宋体" w:cs="Times New Roman"/>
                <w:sz w:val="18"/>
                <w:szCs w:val="18"/>
                <w:lang w:eastAsia="zh-CN" w:bidi="ar-SA"/>
              </w:rPr>
            </w:pPr>
            <w:r>
              <w:rPr>
                <w:rFonts w:eastAsia="宋体" w:cs="Times New Roman"/>
                <w:sz w:val="18"/>
                <w:szCs w:val="18"/>
                <w:lang w:eastAsia="zh-CN" w:bidi="ar-SA"/>
              </w:rPr>
              <w:t>0.066</w:t>
            </w:r>
          </w:p>
        </w:tc>
        <w:tc>
          <w:tcPr>
            <w:tcW w:w="968" w:type="dxa"/>
            <w:vAlign w:val="center"/>
          </w:tcPr>
          <w:p w14:paraId="7F10BD60">
            <w:pPr>
              <w:widowControl/>
              <w:jc w:val="center"/>
              <w:rPr>
                <w:rFonts w:eastAsia="宋体" w:cs="Times New Roman"/>
                <w:sz w:val="18"/>
                <w:szCs w:val="18"/>
                <w:lang w:eastAsia="zh-CN" w:bidi="ar-SA"/>
              </w:rPr>
            </w:pPr>
            <w:r>
              <w:rPr>
                <w:rFonts w:eastAsia="宋体" w:cs="Times New Roman"/>
                <w:sz w:val="18"/>
                <w:szCs w:val="18"/>
                <w:lang w:eastAsia="zh-CN" w:bidi="ar-SA"/>
              </w:rPr>
              <w:t>0.207</w:t>
            </w:r>
          </w:p>
        </w:tc>
        <w:tc>
          <w:tcPr>
            <w:tcW w:w="992" w:type="dxa"/>
            <w:vAlign w:val="center"/>
          </w:tcPr>
          <w:p w14:paraId="381DD1F2">
            <w:pPr>
              <w:widowControl/>
              <w:jc w:val="center"/>
              <w:rPr>
                <w:rFonts w:eastAsia="宋体" w:cs="Times New Roman"/>
                <w:sz w:val="18"/>
                <w:szCs w:val="18"/>
                <w:lang w:eastAsia="zh-CN" w:bidi="ar-SA"/>
              </w:rPr>
            </w:pPr>
            <w:r>
              <w:rPr>
                <w:rFonts w:eastAsia="宋体" w:cs="Times New Roman"/>
                <w:sz w:val="18"/>
                <w:szCs w:val="18"/>
                <w:lang w:eastAsia="zh-CN" w:bidi="ar-SA"/>
              </w:rPr>
              <w:t>0.319</w:t>
            </w:r>
          </w:p>
        </w:tc>
        <w:tc>
          <w:tcPr>
            <w:tcW w:w="992" w:type="dxa"/>
            <w:vAlign w:val="center"/>
          </w:tcPr>
          <w:p w14:paraId="43D67188">
            <w:pPr>
              <w:widowControl/>
              <w:jc w:val="center"/>
              <w:rPr>
                <w:rFonts w:eastAsia="宋体" w:cs="Times New Roman"/>
                <w:sz w:val="18"/>
                <w:szCs w:val="18"/>
                <w:lang w:eastAsia="zh-CN" w:bidi="ar-SA"/>
              </w:rPr>
            </w:pPr>
            <w:r>
              <w:rPr>
                <w:rFonts w:eastAsia="宋体" w:cs="Times New Roman"/>
                <w:sz w:val="18"/>
                <w:szCs w:val="18"/>
                <w:lang w:eastAsia="zh-CN" w:bidi="ar-SA"/>
              </w:rPr>
              <w:t>0.454</w:t>
            </w:r>
          </w:p>
        </w:tc>
        <w:tc>
          <w:tcPr>
            <w:tcW w:w="993" w:type="dxa"/>
            <w:vAlign w:val="center"/>
          </w:tcPr>
          <w:p w14:paraId="13B5F0FB">
            <w:pPr>
              <w:widowControl/>
              <w:jc w:val="center"/>
              <w:rPr>
                <w:rFonts w:eastAsia="宋体" w:cs="Times New Roman"/>
                <w:sz w:val="18"/>
                <w:szCs w:val="18"/>
                <w:lang w:eastAsia="zh-CN" w:bidi="ar-SA"/>
              </w:rPr>
            </w:pPr>
            <w:r>
              <w:rPr>
                <w:rFonts w:eastAsia="宋体" w:cs="Times New Roman"/>
                <w:sz w:val="18"/>
                <w:szCs w:val="18"/>
                <w:lang w:eastAsia="zh-CN" w:bidi="ar-SA"/>
              </w:rPr>
              <w:t>0.596</w:t>
            </w:r>
          </w:p>
        </w:tc>
        <w:tc>
          <w:tcPr>
            <w:tcW w:w="910" w:type="dxa"/>
            <w:vAlign w:val="center"/>
          </w:tcPr>
          <w:p w14:paraId="3DE7572A">
            <w:pPr>
              <w:widowControl/>
              <w:jc w:val="center"/>
              <w:rPr>
                <w:rFonts w:eastAsia="宋体" w:cs="Times New Roman"/>
                <w:sz w:val="18"/>
                <w:szCs w:val="18"/>
                <w:lang w:eastAsia="zh-CN" w:bidi="ar-SA"/>
              </w:rPr>
            </w:pPr>
            <w:r>
              <w:rPr>
                <w:rFonts w:eastAsia="宋体" w:cs="Times New Roman"/>
                <w:sz w:val="18"/>
                <w:szCs w:val="18"/>
                <w:lang w:eastAsia="zh-CN" w:bidi="ar-SA"/>
              </w:rPr>
              <w:t>0.721</w:t>
            </w:r>
          </w:p>
        </w:tc>
        <w:tc>
          <w:tcPr>
            <w:tcW w:w="791" w:type="dxa"/>
          </w:tcPr>
          <w:p w14:paraId="48C4E940">
            <w:pPr>
              <w:widowControl/>
              <w:jc w:val="center"/>
              <w:rPr>
                <w:rFonts w:eastAsia="宋体" w:cs="Times New Roman"/>
                <w:sz w:val="18"/>
                <w:szCs w:val="18"/>
                <w:lang w:eastAsia="zh-CN" w:bidi="ar-SA"/>
              </w:rPr>
            </w:pPr>
            <w:r>
              <w:rPr>
                <w:rFonts w:eastAsia="宋体" w:cs="Times New Roman"/>
                <w:sz w:val="18"/>
                <w:szCs w:val="18"/>
                <w:lang w:eastAsia="zh-CN" w:bidi="ar-SA"/>
              </w:rPr>
              <w:t>0.842</w:t>
            </w:r>
          </w:p>
        </w:tc>
      </w:tr>
    </w:tbl>
    <w:p w14:paraId="3588EEDA">
      <w:pPr>
        <w:spacing w:line="360" w:lineRule="auto"/>
        <w:ind w:firstLine="420" w:firstLineChars="200"/>
        <w:rPr>
          <w:rFonts w:eastAsia="宋体"/>
          <w:sz w:val="21"/>
          <w:szCs w:val="21"/>
          <w:lang w:eastAsia="zh-CN"/>
        </w:rPr>
      </w:pPr>
      <w:r>
        <w:rPr>
          <w:rFonts w:hint="eastAsia" w:eastAsia="宋体"/>
          <w:sz w:val="21"/>
          <w:szCs w:val="21"/>
          <w:lang w:eastAsia="zh-CN"/>
        </w:rPr>
        <w:t>最后根据上述表格获得标准曲线如下图。</w:t>
      </w:r>
      <w:r>
        <w:rPr>
          <w:rFonts w:eastAsia="宋体"/>
          <w:sz w:val="21"/>
          <w:szCs w:val="21"/>
          <w:lang w:eastAsia="zh-CN"/>
        </w:rPr>
        <w:t>线性回归方程为: y=63.475x-0.0357，R</w:t>
      </w:r>
      <w:r>
        <w:rPr>
          <w:rFonts w:eastAsia="宋体"/>
          <w:sz w:val="21"/>
          <w:szCs w:val="21"/>
          <w:vertAlign w:val="superscript"/>
          <w:lang w:eastAsia="zh-CN"/>
        </w:rPr>
        <w:t>2</w:t>
      </w:r>
      <w:r>
        <w:rPr>
          <w:rFonts w:eastAsia="宋体"/>
          <w:sz w:val="21"/>
          <w:szCs w:val="21"/>
          <w:lang w:eastAsia="zh-CN"/>
        </w:rPr>
        <w:t>=0.9962。</w:t>
      </w:r>
    </w:p>
    <w:p w14:paraId="36B3AC86">
      <w:pPr>
        <w:spacing w:line="360" w:lineRule="auto"/>
        <w:ind w:firstLine="420" w:firstLineChars="200"/>
        <w:rPr>
          <w:rFonts w:eastAsia="宋体"/>
          <w:color w:val="8064A2" w:themeColor="accent4"/>
          <w:sz w:val="21"/>
          <w:szCs w:val="21"/>
          <w:lang w:eastAsia="zh-CN"/>
          <w14:textFill>
            <w14:solidFill>
              <w14:schemeClr w14:val="accent4"/>
            </w14:solidFill>
          </w14:textFill>
        </w:rPr>
      </w:pPr>
      <w:r>
        <w:rPr>
          <w:rFonts w:hint="eastAsia" w:ascii="Calibri" w:hAnsi="Calibri" w:eastAsia="宋体" w:cs="Times New Roman"/>
          <w:color w:val="8064A2" w:themeColor="accent4"/>
          <w:kern w:val="2"/>
          <w:sz w:val="21"/>
          <w:szCs w:val="21"/>
          <w:lang w:eastAsia="zh-CN" w:bidi="ar-SA"/>
          <w14:textFill>
            <w14:solidFill>
              <w14:schemeClr w14:val="accent4"/>
            </w14:solidFill>
          </w14:textFill>
        </w:rPr>
        <w:drawing>
          <wp:inline distT="0" distB="0" distL="0" distR="0">
            <wp:extent cx="2858770" cy="1621155"/>
            <wp:effectExtent l="0" t="0" r="0" b="0"/>
            <wp:docPr id="4571970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197072" name="图片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871871" cy="1628562"/>
                    </a:xfrm>
                    <a:prstGeom prst="rect">
                      <a:avLst/>
                    </a:prstGeom>
                    <a:noFill/>
                    <a:ln>
                      <a:noFill/>
                    </a:ln>
                  </pic:spPr>
                </pic:pic>
              </a:graphicData>
            </a:graphic>
          </wp:inline>
        </w:drawing>
      </w:r>
    </w:p>
    <w:p w14:paraId="727B810A">
      <w:pPr>
        <w:spacing w:line="360" w:lineRule="auto"/>
        <w:rPr>
          <w:rFonts w:eastAsia="宋体"/>
          <w:sz w:val="21"/>
          <w:szCs w:val="21"/>
          <w:lang w:eastAsia="zh-CN"/>
        </w:rPr>
      </w:pPr>
      <w:r>
        <w:rPr>
          <w:rFonts w:hint="eastAsia" w:eastAsia="宋体"/>
          <w:sz w:val="21"/>
          <w:szCs w:val="21"/>
          <w:lang w:eastAsia="zh-CN"/>
        </w:rPr>
        <w:t xml:space="preserve">2.7.2  </w:t>
      </w:r>
      <w:r>
        <w:rPr>
          <w:rFonts w:eastAsia="宋体"/>
          <w:sz w:val="21"/>
          <w:szCs w:val="21"/>
          <w:lang w:eastAsia="zh-CN"/>
        </w:rPr>
        <w:t>供试品溶液的制备</w:t>
      </w:r>
    </w:p>
    <w:p w14:paraId="2E3CE21B">
      <w:pPr>
        <w:spacing w:line="360" w:lineRule="auto"/>
        <w:ind w:firstLine="420" w:firstLineChars="200"/>
        <w:rPr>
          <w:rFonts w:eastAsia="宋体"/>
          <w:sz w:val="21"/>
          <w:szCs w:val="21"/>
          <w:lang w:eastAsia="zh-CN"/>
        </w:rPr>
      </w:pPr>
      <w:r>
        <w:rPr>
          <w:rFonts w:eastAsia="宋体"/>
          <w:sz w:val="21"/>
          <w:szCs w:val="21"/>
          <w:lang w:eastAsia="zh-CN"/>
        </w:rPr>
        <w:t>“称取约0.30 g &amp; 配置成100 g溶液” 是一个经过预实验起始值。这个量的设计是为了让后续测得的抑制率能落在理想范围内（30%</w:t>
      </w:r>
      <w:r>
        <w:rPr>
          <w:rFonts w:hint="eastAsia" w:eastAsia="宋体"/>
          <w:sz w:val="21"/>
          <w:szCs w:val="21"/>
          <w:lang w:eastAsia="zh-CN"/>
        </w:rPr>
        <w:t>～</w:t>
      </w:r>
      <w:r>
        <w:rPr>
          <w:rFonts w:eastAsia="宋体"/>
          <w:sz w:val="21"/>
          <w:szCs w:val="21"/>
          <w:lang w:eastAsia="zh-CN"/>
        </w:rPr>
        <w:t>60%）。</w:t>
      </w:r>
    </w:p>
    <w:p w14:paraId="680428D0">
      <w:pPr>
        <w:spacing w:line="360" w:lineRule="auto"/>
        <w:ind w:firstLine="420" w:firstLineChars="200"/>
        <w:rPr>
          <w:rFonts w:eastAsia="宋体"/>
          <w:sz w:val="21"/>
          <w:szCs w:val="21"/>
          <w:lang w:eastAsia="zh-CN"/>
        </w:rPr>
      </w:pPr>
      <w:r>
        <w:rPr>
          <w:rFonts w:eastAsia="宋体"/>
          <w:sz w:val="21"/>
          <w:szCs w:val="21"/>
          <w:lang w:eastAsia="zh-CN"/>
        </w:rPr>
        <w:t>实验设计</w:t>
      </w:r>
    </w:p>
    <w:p w14:paraId="295D072E">
      <w:pPr>
        <w:spacing w:line="360" w:lineRule="auto"/>
        <w:ind w:firstLine="420" w:firstLineChars="200"/>
        <w:rPr>
          <w:rFonts w:eastAsia="宋体"/>
          <w:sz w:val="21"/>
          <w:szCs w:val="21"/>
          <w:lang w:eastAsia="zh-CN"/>
        </w:rPr>
      </w:pPr>
      <w:r>
        <w:rPr>
          <w:rFonts w:eastAsia="宋体"/>
          <w:sz w:val="21"/>
          <w:szCs w:val="21"/>
          <w:lang w:eastAsia="zh-CN"/>
        </w:rPr>
        <w:t>选取了5种不同来源且已知活性存在差异的白芸豆提取物。对每种样品，分别配制质量分数为 0.10%、0.20%、0.30%、0.40%、0.50% 的测试溶液。严格按照本标准“反应体系”与“测定”步骤操作，每个浓度平行测定3次。计算每个浓度下的平均抑制率（AR）及其相对标准偏差（RSD）。</w:t>
      </w:r>
    </w:p>
    <w:tbl>
      <w:tblPr>
        <w:tblStyle w:val="1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29"/>
        <w:gridCol w:w="1276"/>
        <w:gridCol w:w="1418"/>
        <w:gridCol w:w="1134"/>
        <w:gridCol w:w="992"/>
        <w:gridCol w:w="2353"/>
      </w:tblGrid>
      <w:tr w14:paraId="380F84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tcPr>
          <w:p w14:paraId="47748984">
            <w:pPr>
              <w:spacing w:line="360" w:lineRule="auto"/>
              <w:rPr>
                <w:rFonts w:eastAsia="宋体"/>
                <w:sz w:val="18"/>
                <w:szCs w:val="18"/>
                <w:lang w:eastAsia="zh-CN"/>
              </w:rPr>
            </w:pPr>
            <w:r>
              <w:rPr>
                <w:rFonts w:eastAsia="宋体"/>
                <w:sz w:val="18"/>
                <w:szCs w:val="18"/>
                <w:lang w:eastAsia="zh-CN"/>
              </w:rPr>
              <w:t>样品编号</w:t>
            </w:r>
          </w:p>
        </w:tc>
        <w:tc>
          <w:tcPr>
            <w:tcW w:w="1276" w:type="dxa"/>
          </w:tcPr>
          <w:p w14:paraId="005D8A2D">
            <w:pPr>
              <w:spacing w:line="360" w:lineRule="auto"/>
              <w:rPr>
                <w:rFonts w:eastAsia="宋体"/>
                <w:sz w:val="18"/>
                <w:szCs w:val="18"/>
                <w:lang w:eastAsia="zh-CN"/>
              </w:rPr>
            </w:pPr>
            <w:r>
              <w:rPr>
                <w:rFonts w:eastAsia="宋体"/>
                <w:sz w:val="18"/>
                <w:szCs w:val="18"/>
                <w:lang w:eastAsia="zh-CN"/>
              </w:rPr>
              <w:t>提取物活性预估 (U/g)</w:t>
            </w:r>
          </w:p>
        </w:tc>
        <w:tc>
          <w:tcPr>
            <w:tcW w:w="1418" w:type="dxa"/>
          </w:tcPr>
          <w:p w14:paraId="1C828F80">
            <w:pPr>
              <w:spacing w:line="360" w:lineRule="auto"/>
              <w:rPr>
                <w:rFonts w:eastAsia="宋体"/>
                <w:sz w:val="18"/>
                <w:szCs w:val="18"/>
                <w:lang w:eastAsia="zh-CN"/>
              </w:rPr>
            </w:pPr>
            <w:r>
              <w:rPr>
                <w:rFonts w:eastAsia="宋体"/>
                <w:sz w:val="18"/>
                <w:szCs w:val="18"/>
                <w:lang w:eastAsia="zh-CN"/>
              </w:rPr>
              <w:t>测试质量分数 (w/w%)</w:t>
            </w:r>
          </w:p>
        </w:tc>
        <w:tc>
          <w:tcPr>
            <w:tcW w:w="1134" w:type="dxa"/>
          </w:tcPr>
          <w:p w14:paraId="04B75817">
            <w:pPr>
              <w:spacing w:line="360" w:lineRule="auto"/>
              <w:rPr>
                <w:rFonts w:eastAsia="宋体"/>
                <w:sz w:val="18"/>
                <w:szCs w:val="18"/>
                <w:lang w:eastAsia="zh-CN"/>
              </w:rPr>
            </w:pPr>
            <w:r>
              <w:rPr>
                <w:rFonts w:eastAsia="宋体"/>
                <w:sz w:val="18"/>
                <w:szCs w:val="18"/>
                <w:lang w:eastAsia="zh-CN"/>
              </w:rPr>
              <w:t>平均抑制率 AR (%)</w:t>
            </w:r>
          </w:p>
        </w:tc>
        <w:tc>
          <w:tcPr>
            <w:tcW w:w="992" w:type="dxa"/>
          </w:tcPr>
          <w:p w14:paraId="74FD73D2">
            <w:pPr>
              <w:spacing w:line="360" w:lineRule="auto"/>
              <w:rPr>
                <w:rFonts w:eastAsia="宋体"/>
                <w:sz w:val="18"/>
                <w:szCs w:val="18"/>
                <w:lang w:eastAsia="zh-CN"/>
              </w:rPr>
            </w:pPr>
            <w:r>
              <w:rPr>
                <w:rFonts w:eastAsia="宋体"/>
                <w:sz w:val="18"/>
                <w:szCs w:val="18"/>
                <w:lang w:eastAsia="zh-CN"/>
              </w:rPr>
              <w:t>RSD (%)</w:t>
            </w:r>
          </w:p>
        </w:tc>
        <w:tc>
          <w:tcPr>
            <w:tcW w:w="2353" w:type="dxa"/>
          </w:tcPr>
          <w:p w14:paraId="53FBA0D6">
            <w:pPr>
              <w:spacing w:line="360" w:lineRule="auto"/>
              <w:rPr>
                <w:rFonts w:eastAsia="宋体"/>
                <w:sz w:val="18"/>
                <w:szCs w:val="18"/>
                <w:lang w:eastAsia="zh-CN"/>
              </w:rPr>
            </w:pPr>
            <w:r>
              <w:rPr>
                <w:rFonts w:eastAsia="宋体"/>
                <w:sz w:val="18"/>
                <w:szCs w:val="18"/>
                <w:lang w:eastAsia="zh-CN"/>
              </w:rPr>
              <w:t>是否落入目标区间 (30%-60%)</w:t>
            </w:r>
          </w:p>
        </w:tc>
      </w:tr>
      <w:tr w14:paraId="3AD8C9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restart"/>
          </w:tcPr>
          <w:p w14:paraId="30BFADC1">
            <w:pPr>
              <w:spacing w:line="360" w:lineRule="auto"/>
              <w:rPr>
                <w:rFonts w:eastAsia="宋体"/>
                <w:sz w:val="18"/>
                <w:szCs w:val="18"/>
                <w:lang w:eastAsia="zh-CN"/>
              </w:rPr>
            </w:pPr>
            <w:r>
              <w:rPr>
                <w:rFonts w:eastAsia="宋体"/>
                <w:sz w:val="18"/>
                <w:szCs w:val="18"/>
                <w:lang w:eastAsia="zh-CN"/>
              </w:rPr>
              <w:t>S01</w:t>
            </w:r>
          </w:p>
        </w:tc>
        <w:tc>
          <w:tcPr>
            <w:tcW w:w="1276" w:type="dxa"/>
            <w:vMerge w:val="restart"/>
          </w:tcPr>
          <w:p w14:paraId="6C550844">
            <w:pPr>
              <w:spacing w:line="360" w:lineRule="auto"/>
              <w:rPr>
                <w:rFonts w:eastAsia="宋体"/>
                <w:sz w:val="18"/>
                <w:szCs w:val="18"/>
                <w:lang w:eastAsia="zh-CN"/>
              </w:rPr>
            </w:pPr>
            <w:r>
              <w:rPr>
                <w:rFonts w:eastAsia="宋体"/>
                <w:sz w:val="18"/>
                <w:szCs w:val="18"/>
                <w:lang w:eastAsia="zh-CN"/>
              </w:rPr>
              <w:t>90</w:t>
            </w:r>
          </w:p>
        </w:tc>
        <w:tc>
          <w:tcPr>
            <w:tcW w:w="1418" w:type="dxa"/>
          </w:tcPr>
          <w:p w14:paraId="14D1FCD2">
            <w:pPr>
              <w:spacing w:line="360" w:lineRule="auto"/>
              <w:rPr>
                <w:rFonts w:eastAsia="宋体"/>
                <w:sz w:val="18"/>
                <w:szCs w:val="18"/>
                <w:lang w:eastAsia="zh-CN"/>
              </w:rPr>
            </w:pPr>
            <w:r>
              <w:rPr>
                <w:rFonts w:eastAsia="宋体"/>
                <w:sz w:val="18"/>
                <w:szCs w:val="18"/>
                <w:lang w:eastAsia="zh-CN"/>
              </w:rPr>
              <w:t>0.10</w:t>
            </w:r>
          </w:p>
        </w:tc>
        <w:tc>
          <w:tcPr>
            <w:tcW w:w="1134" w:type="dxa"/>
          </w:tcPr>
          <w:p w14:paraId="2801263A">
            <w:pPr>
              <w:spacing w:line="360" w:lineRule="auto"/>
              <w:rPr>
                <w:rFonts w:eastAsia="宋体"/>
                <w:sz w:val="18"/>
                <w:szCs w:val="18"/>
                <w:lang w:eastAsia="zh-CN"/>
              </w:rPr>
            </w:pPr>
            <w:r>
              <w:rPr>
                <w:rFonts w:eastAsia="宋体"/>
                <w:sz w:val="18"/>
                <w:szCs w:val="18"/>
                <w:lang w:eastAsia="zh-CN"/>
              </w:rPr>
              <w:t>18.5</w:t>
            </w:r>
          </w:p>
        </w:tc>
        <w:tc>
          <w:tcPr>
            <w:tcW w:w="992" w:type="dxa"/>
          </w:tcPr>
          <w:p w14:paraId="2493241F">
            <w:pPr>
              <w:spacing w:line="360" w:lineRule="auto"/>
              <w:rPr>
                <w:rFonts w:eastAsia="宋体"/>
                <w:sz w:val="18"/>
                <w:szCs w:val="18"/>
                <w:lang w:eastAsia="zh-CN"/>
              </w:rPr>
            </w:pPr>
            <w:r>
              <w:rPr>
                <w:rFonts w:eastAsia="宋体"/>
                <w:sz w:val="18"/>
                <w:szCs w:val="18"/>
                <w:lang w:eastAsia="zh-CN"/>
              </w:rPr>
              <w:t>2.1</w:t>
            </w:r>
          </w:p>
        </w:tc>
        <w:tc>
          <w:tcPr>
            <w:tcW w:w="2353" w:type="dxa"/>
          </w:tcPr>
          <w:p w14:paraId="67B830FF">
            <w:pPr>
              <w:spacing w:line="360" w:lineRule="auto"/>
              <w:rPr>
                <w:rFonts w:eastAsia="宋体"/>
                <w:sz w:val="18"/>
                <w:szCs w:val="18"/>
                <w:lang w:eastAsia="zh-CN"/>
              </w:rPr>
            </w:pPr>
            <w:r>
              <w:rPr>
                <w:rFonts w:eastAsia="宋体"/>
                <w:sz w:val="18"/>
                <w:szCs w:val="18"/>
                <w:lang w:eastAsia="zh-CN"/>
              </w:rPr>
              <w:t>否</w:t>
            </w:r>
          </w:p>
        </w:tc>
      </w:tr>
      <w:tr w14:paraId="5EBCA6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4E508CB0">
            <w:pPr>
              <w:spacing w:line="360" w:lineRule="auto"/>
              <w:rPr>
                <w:rFonts w:eastAsia="宋体"/>
                <w:sz w:val="18"/>
                <w:szCs w:val="18"/>
                <w:lang w:eastAsia="zh-CN"/>
              </w:rPr>
            </w:pPr>
          </w:p>
        </w:tc>
        <w:tc>
          <w:tcPr>
            <w:tcW w:w="1276" w:type="dxa"/>
            <w:vMerge w:val="continue"/>
          </w:tcPr>
          <w:p w14:paraId="59BC530A">
            <w:pPr>
              <w:spacing w:line="360" w:lineRule="auto"/>
              <w:rPr>
                <w:rFonts w:eastAsia="宋体"/>
                <w:sz w:val="18"/>
                <w:szCs w:val="18"/>
                <w:lang w:eastAsia="zh-CN"/>
              </w:rPr>
            </w:pPr>
          </w:p>
        </w:tc>
        <w:tc>
          <w:tcPr>
            <w:tcW w:w="1418" w:type="dxa"/>
          </w:tcPr>
          <w:p w14:paraId="1B746BC5">
            <w:pPr>
              <w:spacing w:line="360" w:lineRule="auto"/>
              <w:rPr>
                <w:rFonts w:eastAsia="宋体"/>
                <w:sz w:val="18"/>
                <w:szCs w:val="18"/>
                <w:lang w:eastAsia="zh-CN"/>
              </w:rPr>
            </w:pPr>
            <w:r>
              <w:rPr>
                <w:rFonts w:eastAsia="宋体"/>
                <w:sz w:val="18"/>
                <w:szCs w:val="18"/>
                <w:lang w:eastAsia="zh-CN"/>
              </w:rPr>
              <w:t>0.20</w:t>
            </w:r>
          </w:p>
        </w:tc>
        <w:tc>
          <w:tcPr>
            <w:tcW w:w="1134" w:type="dxa"/>
          </w:tcPr>
          <w:p w14:paraId="794E6FC0">
            <w:pPr>
              <w:spacing w:line="360" w:lineRule="auto"/>
              <w:rPr>
                <w:rFonts w:eastAsia="宋体"/>
                <w:sz w:val="18"/>
                <w:szCs w:val="18"/>
                <w:lang w:eastAsia="zh-CN"/>
              </w:rPr>
            </w:pPr>
            <w:r>
              <w:rPr>
                <w:rFonts w:eastAsia="宋体"/>
                <w:sz w:val="18"/>
                <w:szCs w:val="18"/>
                <w:lang w:eastAsia="zh-CN"/>
              </w:rPr>
              <w:t>35.2</w:t>
            </w:r>
          </w:p>
        </w:tc>
        <w:tc>
          <w:tcPr>
            <w:tcW w:w="992" w:type="dxa"/>
          </w:tcPr>
          <w:p w14:paraId="7F97CEB0">
            <w:pPr>
              <w:spacing w:line="360" w:lineRule="auto"/>
              <w:rPr>
                <w:rFonts w:eastAsia="宋体"/>
                <w:sz w:val="18"/>
                <w:szCs w:val="18"/>
                <w:lang w:eastAsia="zh-CN"/>
              </w:rPr>
            </w:pPr>
            <w:r>
              <w:rPr>
                <w:rFonts w:eastAsia="宋体"/>
                <w:sz w:val="18"/>
                <w:szCs w:val="18"/>
                <w:lang w:eastAsia="zh-CN"/>
              </w:rPr>
              <w:t>1.8</w:t>
            </w:r>
          </w:p>
        </w:tc>
        <w:tc>
          <w:tcPr>
            <w:tcW w:w="2353" w:type="dxa"/>
          </w:tcPr>
          <w:p w14:paraId="4438DE75">
            <w:pPr>
              <w:spacing w:line="360" w:lineRule="auto"/>
              <w:rPr>
                <w:rFonts w:eastAsia="宋体"/>
                <w:sz w:val="18"/>
                <w:szCs w:val="18"/>
                <w:lang w:eastAsia="zh-CN"/>
              </w:rPr>
            </w:pPr>
            <w:r>
              <w:rPr>
                <w:rFonts w:eastAsia="宋体"/>
                <w:sz w:val="18"/>
                <w:szCs w:val="18"/>
                <w:lang w:eastAsia="zh-CN"/>
              </w:rPr>
              <w:t>是</w:t>
            </w:r>
          </w:p>
        </w:tc>
      </w:tr>
      <w:tr w14:paraId="0F3551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3FFE6516">
            <w:pPr>
              <w:spacing w:line="360" w:lineRule="auto"/>
              <w:rPr>
                <w:rFonts w:eastAsia="宋体"/>
                <w:sz w:val="18"/>
                <w:szCs w:val="18"/>
                <w:lang w:eastAsia="zh-CN"/>
              </w:rPr>
            </w:pPr>
          </w:p>
        </w:tc>
        <w:tc>
          <w:tcPr>
            <w:tcW w:w="1276" w:type="dxa"/>
            <w:vMerge w:val="continue"/>
          </w:tcPr>
          <w:p w14:paraId="56F3397E">
            <w:pPr>
              <w:spacing w:line="360" w:lineRule="auto"/>
              <w:rPr>
                <w:rFonts w:eastAsia="宋体"/>
                <w:sz w:val="18"/>
                <w:szCs w:val="18"/>
                <w:lang w:eastAsia="zh-CN"/>
              </w:rPr>
            </w:pPr>
          </w:p>
        </w:tc>
        <w:tc>
          <w:tcPr>
            <w:tcW w:w="1418" w:type="dxa"/>
          </w:tcPr>
          <w:p w14:paraId="11B8561D">
            <w:pPr>
              <w:spacing w:line="360" w:lineRule="auto"/>
              <w:rPr>
                <w:rFonts w:eastAsia="宋体"/>
                <w:sz w:val="18"/>
                <w:szCs w:val="18"/>
                <w:lang w:eastAsia="zh-CN"/>
              </w:rPr>
            </w:pPr>
            <w:r>
              <w:rPr>
                <w:rFonts w:eastAsia="宋体"/>
                <w:sz w:val="18"/>
                <w:szCs w:val="18"/>
                <w:lang w:eastAsia="zh-CN"/>
              </w:rPr>
              <w:t>0.30</w:t>
            </w:r>
          </w:p>
        </w:tc>
        <w:tc>
          <w:tcPr>
            <w:tcW w:w="1134" w:type="dxa"/>
          </w:tcPr>
          <w:p w14:paraId="26866BB0">
            <w:pPr>
              <w:spacing w:line="360" w:lineRule="auto"/>
              <w:rPr>
                <w:rFonts w:eastAsia="宋体"/>
                <w:sz w:val="18"/>
                <w:szCs w:val="18"/>
                <w:lang w:eastAsia="zh-CN"/>
              </w:rPr>
            </w:pPr>
            <w:r>
              <w:rPr>
                <w:rFonts w:eastAsia="宋体"/>
                <w:sz w:val="18"/>
                <w:szCs w:val="18"/>
                <w:lang w:eastAsia="zh-CN"/>
              </w:rPr>
              <w:t>52.7</w:t>
            </w:r>
          </w:p>
        </w:tc>
        <w:tc>
          <w:tcPr>
            <w:tcW w:w="992" w:type="dxa"/>
          </w:tcPr>
          <w:p w14:paraId="00AF35F2">
            <w:pPr>
              <w:spacing w:line="360" w:lineRule="auto"/>
              <w:rPr>
                <w:rFonts w:eastAsia="宋体"/>
                <w:sz w:val="18"/>
                <w:szCs w:val="18"/>
                <w:lang w:eastAsia="zh-CN"/>
              </w:rPr>
            </w:pPr>
            <w:r>
              <w:rPr>
                <w:rFonts w:eastAsia="宋体"/>
                <w:sz w:val="18"/>
                <w:szCs w:val="18"/>
                <w:lang w:eastAsia="zh-CN"/>
              </w:rPr>
              <w:t>1.5</w:t>
            </w:r>
          </w:p>
        </w:tc>
        <w:tc>
          <w:tcPr>
            <w:tcW w:w="2353" w:type="dxa"/>
          </w:tcPr>
          <w:p w14:paraId="0C945D61">
            <w:pPr>
              <w:spacing w:line="360" w:lineRule="auto"/>
              <w:rPr>
                <w:rFonts w:eastAsia="宋体"/>
                <w:sz w:val="18"/>
                <w:szCs w:val="18"/>
                <w:lang w:eastAsia="zh-CN"/>
              </w:rPr>
            </w:pPr>
            <w:r>
              <w:rPr>
                <w:rFonts w:eastAsia="宋体"/>
                <w:sz w:val="18"/>
                <w:szCs w:val="18"/>
                <w:lang w:eastAsia="zh-CN"/>
              </w:rPr>
              <w:t>是</w:t>
            </w:r>
          </w:p>
        </w:tc>
      </w:tr>
      <w:tr w14:paraId="561BCF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5ED14CD">
            <w:pPr>
              <w:spacing w:line="360" w:lineRule="auto"/>
              <w:rPr>
                <w:rFonts w:eastAsia="宋体"/>
                <w:sz w:val="18"/>
                <w:szCs w:val="18"/>
                <w:lang w:eastAsia="zh-CN"/>
              </w:rPr>
            </w:pPr>
          </w:p>
        </w:tc>
        <w:tc>
          <w:tcPr>
            <w:tcW w:w="1276" w:type="dxa"/>
            <w:vMerge w:val="continue"/>
          </w:tcPr>
          <w:p w14:paraId="6CF69906">
            <w:pPr>
              <w:spacing w:line="360" w:lineRule="auto"/>
              <w:rPr>
                <w:rFonts w:eastAsia="宋体"/>
                <w:sz w:val="18"/>
                <w:szCs w:val="18"/>
                <w:lang w:eastAsia="zh-CN"/>
              </w:rPr>
            </w:pPr>
          </w:p>
        </w:tc>
        <w:tc>
          <w:tcPr>
            <w:tcW w:w="1418" w:type="dxa"/>
          </w:tcPr>
          <w:p w14:paraId="5DBC2397">
            <w:pPr>
              <w:spacing w:line="360" w:lineRule="auto"/>
              <w:rPr>
                <w:rFonts w:eastAsia="宋体"/>
                <w:sz w:val="18"/>
                <w:szCs w:val="18"/>
                <w:lang w:eastAsia="zh-CN"/>
              </w:rPr>
            </w:pPr>
            <w:r>
              <w:rPr>
                <w:rFonts w:eastAsia="宋体"/>
                <w:sz w:val="18"/>
                <w:szCs w:val="18"/>
                <w:lang w:eastAsia="zh-CN"/>
              </w:rPr>
              <w:t>0.40</w:t>
            </w:r>
          </w:p>
        </w:tc>
        <w:tc>
          <w:tcPr>
            <w:tcW w:w="1134" w:type="dxa"/>
          </w:tcPr>
          <w:p w14:paraId="033AA1EE">
            <w:pPr>
              <w:spacing w:line="360" w:lineRule="auto"/>
              <w:rPr>
                <w:rFonts w:eastAsia="宋体"/>
                <w:sz w:val="18"/>
                <w:szCs w:val="18"/>
                <w:lang w:eastAsia="zh-CN"/>
              </w:rPr>
            </w:pPr>
            <w:r>
              <w:rPr>
                <w:rFonts w:eastAsia="宋体"/>
                <w:sz w:val="18"/>
                <w:szCs w:val="18"/>
                <w:lang w:eastAsia="zh-CN"/>
              </w:rPr>
              <w:t>68.9</w:t>
            </w:r>
          </w:p>
        </w:tc>
        <w:tc>
          <w:tcPr>
            <w:tcW w:w="992" w:type="dxa"/>
          </w:tcPr>
          <w:p w14:paraId="3F0FF38D">
            <w:pPr>
              <w:spacing w:line="360" w:lineRule="auto"/>
              <w:rPr>
                <w:rFonts w:eastAsia="宋体"/>
                <w:sz w:val="18"/>
                <w:szCs w:val="18"/>
                <w:lang w:eastAsia="zh-CN"/>
              </w:rPr>
            </w:pPr>
            <w:r>
              <w:rPr>
                <w:rFonts w:eastAsia="宋体"/>
                <w:sz w:val="18"/>
                <w:szCs w:val="18"/>
                <w:lang w:eastAsia="zh-CN"/>
              </w:rPr>
              <w:t>2.0</w:t>
            </w:r>
          </w:p>
        </w:tc>
        <w:tc>
          <w:tcPr>
            <w:tcW w:w="2353" w:type="dxa"/>
          </w:tcPr>
          <w:p w14:paraId="0739BBCB">
            <w:pPr>
              <w:spacing w:line="360" w:lineRule="auto"/>
              <w:rPr>
                <w:rFonts w:eastAsia="宋体"/>
                <w:sz w:val="18"/>
                <w:szCs w:val="18"/>
                <w:lang w:eastAsia="zh-CN"/>
              </w:rPr>
            </w:pPr>
            <w:r>
              <w:rPr>
                <w:rFonts w:eastAsia="宋体"/>
                <w:sz w:val="18"/>
                <w:szCs w:val="18"/>
                <w:lang w:eastAsia="zh-CN"/>
              </w:rPr>
              <w:t>否</w:t>
            </w:r>
          </w:p>
        </w:tc>
      </w:tr>
      <w:tr w14:paraId="108973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579C7DBE">
            <w:pPr>
              <w:spacing w:line="360" w:lineRule="auto"/>
              <w:rPr>
                <w:rFonts w:eastAsia="宋体"/>
                <w:sz w:val="18"/>
                <w:szCs w:val="18"/>
                <w:lang w:eastAsia="zh-CN"/>
              </w:rPr>
            </w:pPr>
          </w:p>
        </w:tc>
        <w:tc>
          <w:tcPr>
            <w:tcW w:w="1276" w:type="dxa"/>
            <w:vMerge w:val="continue"/>
          </w:tcPr>
          <w:p w14:paraId="23C9DF1B">
            <w:pPr>
              <w:spacing w:line="360" w:lineRule="auto"/>
              <w:rPr>
                <w:rFonts w:eastAsia="宋体"/>
                <w:sz w:val="18"/>
                <w:szCs w:val="18"/>
                <w:lang w:eastAsia="zh-CN"/>
              </w:rPr>
            </w:pPr>
          </w:p>
        </w:tc>
        <w:tc>
          <w:tcPr>
            <w:tcW w:w="1418" w:type="dxa"/>
          </w:tcPr>
          <w:p w14:paraId="4F0160D4">
            <w:pPr>
              <w:spacing w:line="360" w:lineRule="auto"/>
              <w:rPr>
                <w:rFonts w:eastAsia="宋体"/>
                <w:sz w:val="18"/>
                <w:szCs w:val="18"/>
                <w:lang w:eastAsia="zh-CN"/>
              </w:rPr>
            </w:pPr>
            <w:r>
              <w:rPr>
                <w:rFonts w:eastAsia="宋体"/>
                <w:sz w:val="18"/>
                <w:szCs w:val="18"/>
                <w:lang w:eastAsia="zh-CN"/>
              </w:rPr>
              <w:t>0.50</w:t>
            </w:r>
          </w:p>
        </w:tc>
        <w:tc>
          <w:tcPr>
            <w:tcW w:w="1134" w:type="dxa"/>
          </w:tcPr>
          <w:p w14:paraId="6D8FE4C3">
            <w:pPr>
              <w:spacing w:line="360" w:lineRule="auto"/>
              <w:rPr>
                <w:rFonts w:eastAsia="宋体"/>
                <w:sz w:val="18"/>
                <w:szCs w:val="18"/>
                <w:lang w:eastAsia="zh-CN"/>
              </w:rPr>
            </w:pPr>
            <w:r>
              <w:rPr>
                <w:rFonts w:eastAsia="宋体"/>
                <w:sz w:val="18"/>
                <w:szCs w:val="18"/>
                <w:lang w:eastAsia="zh-CN"/>
              </w:rPr>
              <w:t>81.3</w:t>
            </w:r>
          </w:p>
        </w:tc>
        <w:tc>
          <w:tcPr>
            <w:tcW w:w="992" w:type="dxa"/>
          </w:tcPr>
          <w:p w14:paraId="4E40BB49">
            <w:pPr>
              <w:spacing w:line="360" w:lineRule="auto"/>
              <w:rPr>
                <w:rFonts w:eastAsia="宋体"/>
                <w:sz w:val="18"/>
                <w:szCs w:val="18"/>
                <w:lang w:eastAsia="zh-CN"/>
              </w:rPr>
            </w:pPr>
            <w:r>
              <w:rPr>
                <w:rFonts w:eastAsia="宋体"/>
                <w:sz w:val="18"/>
                <w:szCs w:val="18"/>
                <w:lang w:eastAsia="zh-CN"/>
              </w:rPr>
              <w:t>2.3</w:t>
            </w:r>
          </w:p>
        </w:tc>
        <w:tc>
          <w:tcPr>
            <w:tcW w:w="2353" w:type="dxa"/>
          </w:tcPr>
          <w:p w14:paraId="57599953">
            <w:pPr>
              <w:spacing w:line="360" w:lineRule="auto"/>
              <w:rPr>
                <w:rFonts w:eastAsia="宋体"/>
                <w:sz w:val="18"/>
                <w:szCs w:val="18"/>
                <w:lang w:eastAsia="zh-CN"/>
              </w:rPr>
            </w:pPr>
            <w:r>
              <w:rPr>
                <w:rFonts w:eastAsia="宋体"/>
                <w:sz w:val="18"/>
                <w:szCs w:val="18"/>
                <w:lang w:eastAsia="zh-CN"/>
              </w:rPr>
              <w:t>否</w:t>
            </w:r>
          </w:p>
        </w:tc>
      </w:tr>
      <w:tr w14:paraId="3E48D4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restart"/>
          </w:tcPr>
          <w:p w14:paraId="16410669">
            <w:pPr>
              <w:spacing w:line="360" w:lineRule="auto"/>
              <w:rPr>
                <w:rFonts w:eastAsia="宋体"/>
                <w:sz w:val="18"/>
                <w:szCs w:val="18"/>
                <w:lang w:eastAsia="zh-CN"/>
              </w:rPr>
            </w:pPr>
            <w:r>
              <w:rPr>
                <w:rFonts w:eastAsia="宋体"/>
                <w:sz w:val="18"/>
                <w:szCs w:val="18"/>
                <w:lang w:eastAsia="zh-CN"/>
              </w:rPr>
              <w:t>S02</w:t>
            </w:r>
          </w:p>
        </w:tc>
        <w:tc>
          <w:tcPr>
            <w:tcW w:w="1276" w:type="dxa"/>
            <w:vMerge w:val="restart"/>
          </w:tcPr>
          <w:p w14:paraId="39FE3FAD">
            <w:pPr>
              <w:spacing w:line="360" w:lineRule="auto"/>
              <w:rPr>
                <w:rFonts w:eastAsia="宋体"/>
                <w:sz w:val="18"/>
                <w:szCs w:val="18"/>
                <w:lang w:eastAsia="zh-CN"/>
              </w:rPr>
            </w:pPr>
            <w:r>
              <w:rPr>
                <w:rFonts w:eastAsia="宋体"/>
                <w:sz w:val="18"/>
                <w:szCs w:val="18"/>
                <w:lang w:eastAsia="zh-CN"/>
              </w:rPr>
              <w:t>110</w:t>
            </w:r>
          </w:p>
        </w:tc>
        <w:tc>
          <w:tcPr>
            <w:tcW w:w="1418" w:type="dxa"/>
          </w:tcPr>
          <w:p w14:paraId="72ED0CB6">
            <w:pPr>
              <w:spacing w:line="360" w:lineRule="auto"/>
              <w:rPr>
                <w:rFonts w:eastAsia="宋体"/>
                <w:sz w:val="18"/>
                <w:szCs w:val="18"/>
                <w:lang w:eastAsia="zh-CN"/>
              </w:rPr>
            </w:pPr>
            <w:r>
              <w:rPr>
                <w:rFonts w:eastAsia="宋体"/>
                <w:sz w:val="18"/>
                <w:szCs w:val="18"/>
                <w:lang w:eastAsia="zh-CN"/>
              </w:rPr>
              <w:t>0.10</w:t>
            </w:r>
          </w:p>
        </w:tc>
        <w:tc>
          <w:tcPr>
            <w:tcW w:w="1134" w:type="dxa"/>
          </w:tcPr>
          <w:p w14:paraId="34D93076">
            <w:pPr>
              <w:spacing w:line="360" w:lineRule="auto"/>
              <w:rPr>
                <w:rFonts w:eastAsia="宋体"/>
                <w:sz w:val="18"/>
                <w:szCs w:val="18"/>
                <w:lang w:eastAsia="zh-CN"/>
              </w:rPr>
            </w:pPr>
            <w:r>
              <w:rPr>
                <w:rFonts w:eastAsia="宋体"/>
                <w:sz w:val="18"/>
                <w:szCs w:val="18"/>
                <w:lang w:eastAsia="zh-CN"/>
              </w:rPr>
              <w:t>22.1</w:t>
            </w:r>
          </w:p>
        </w:tc>
        <w:tc>
          <w:tcPr>
            <w:tcW w:w="992" w:type="dxa"/>
          </w:tcPr>
          <w:p w14:paraId="4A1D43C4">
            <w:pPr>
              <w:spacing w:line="360" w:lineRule="auto"/>
              <w:rPr>
                <w:rFonts w:eastAsia="宋体"/>
                <w:sz w:val="18"/>
                <w:szCs w:val="18"/>
                <w:lang w:eastAsia="zh-CN"/>
              </w:rPr>
            </w:pPr>
            <w:r>
              <w:rPr>
                <w:rFonts w:eastAsia="宋体"/>
                <w:sz w:val="18"/>
                <w:szCs w:val="18"/>
                <w:lang w:eastAsia="zh-CN"/>
              </w:rPr>
              <w:t>1.9</w:t>
            </w:r>
          </w:p>
        </w:tc>
        <w:tc>
          <w:tcPr>
            <w:tcW w:w="2353" w:type="dxa"/>
          </w:tcPr>
          <w:p w14:paraId="30DC41A7">
            <w:pPr>
              <w:spacing w:line="360" w:lineRule="auto"/>
              <w:rPr>
                <w:rFonts w:eastAsia="宋体"/>
                <w:sz w:val="18"/>
                <w:szCs w:val="18"/>
                <w:lang w:eastAsia="zh-CN"/>
              </w:rPr>
            </w:pPr>
            <w:r>
              <w:rPr>
                <w:rFonts w:eastAsia="宋体"/>
                <w:sz w:val="18"/>
                <w:szCs w:val="18"/>
                <w:lang w:eastAsia="zh-CN"/>
              </w:rPr>
              <w:t>否</w:t>
            </w:r>
          </w:p>
        </w:tc>
      </w:tr>
      <w:tr w14:paraId="416FEE4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25D0F63C">
            <w:pPr>
              <w:spacing w:line="360" w:lineRule="auto"/>
              <w:rPr>
                <w:rFonts w:eastAsia="宋体"/>
                <w:sz w:val="18"/>
                <w:szCs w:val="18"/>
                <w:lang w:eastAsia="zh-CN"/>
              </w:rPr>
            </w:pPr>
          </w:p>
        </w:tc>
        <w:tc>
          <w:tcPr>
            <w:tcW w:w="1276" w:type="dxa"/>
            <w:vMerge w:val="continue"/>
          </w:tcPr>
          <w:p w14:paraId="0EBD8634">
            <w:pPr>
              <w:spacing w:line="360" w:lineRule="auto"/>
              <w:rPr>
                <w:rFonts w:eastAsia="宋体"/>
                <w:sz w:val="18"/>
                <w:szCs w:val="18"/>
                <w:lang w:eastAsia="zh-CN"/>
              </w:rPr>
            </w:pPr>
          </w:p>
        </w:tc>
        <w:tc>
          <w:tcPr>
            <w:tcW w:w="1418" w:type="dxa"/>
          </w:tcPr>
          <w:p w14:paraId="79946ECE">
            <w:pPr>
              <w:spacing w:line="360" w:lineRule="auto"/>
              <w:rPr>
                <w:rFonts w:eastAsia="宋体"/>
                <w:sz w:val="18"/>
                <w:szCs w:val="18"/>
                <w:lang w:eastAsia="zh-CN"/>
              </w:rPr>
            </w:pPr>
            <w:r>
              <w:rPr>
                <w:rFonts w:eastAsia="宋体"/>
                <w:sz w:val="18"/>
                <w:szCs w:val="18"/>
                <w:lang w:eastAsia="zh-CN"/>
              </w:rPr>
              <w:t>0.20</w:t>
            </w:r>
          </w:p>
        </w:tc>
        <w:tc>
          <w:tcPr>
            <w:tcW w:w="1134" w:type="dxa"/>
          </w:tcPr>
          <w:p w14:paraId="5C628625">
            <w:pPr>
              <w:spacing w:line="360" w:lineRule="auto"/>
              <w:rPr>
                <w:rFonts w:eastAsia="宋体"/>
                <w:sz w:val="18"/>
                <w:szCs w:val="18"/>
                <w:lang w:eastAsia="zh-CN"/>
              </w:rPr>
            </w:pPr>
            <w:r>
              <w:rPr>
                <w:rFonts w:eastAsia="宋体"/>
                <w:sz w:val="18"/>
                <w:szCs w:val="18"/>
                <w:lang w:eastAsia="zh-CN"/>
              </w:rPr>
              <w:t>41.5</w:t>
            </w:r>
          </w:p>
        </w:tc>
        <w:tc>
          <w:tcPr>
            <w:tcW w:w="992" w:type="dxa"/>
          </w:tcPr>
          <w:p w14:paraId="0F6B3766">
            <w:pPr>
              <w:spacing w:line="360" w:lineRule="auto"/>
              <w:rPr>
                <w:rFonts w:eastAsia="宋体"/>
                <w:sz w:val="18"/>
                <w:szCs w:val="18"/>
                <w:lang w:eastAsia="zh-CN"/>
              </w:rPr>
            </w:pPr>
            <w:r>
              <w:rPr>
                <w:rFonts w:eastAsia="宋体"/>
                <w:sz w:val="18"/>
                <w:szCs w:val="18"/>
                <w:lang w:eastAsia="zh-CN"/>
              </w:rPr>
              <w:t>1.6</w:t>
            </w:r>
          </w:p>
        </w:tc>
        <w:tc>
          <w:tcPr>
            <w:tcW w:w="2353" w:type="dxa"/>
          </w:tcPr>
          <w:p w14:paraId="3C416AB3">
            <w:pPr>
              <w:spacing w:line="360" w:lineRule="auto"/>
              <w:rPr>
                <w:rFonts w:eastAsia="宋体"/>
                <w:sz w:val="18"/>
                <w:szCs w:val="18"/>
                <w:lang w:eastAsia="zh-CN"/>
              </w:rPr>
            </w:pPr>
            <w:r>
              <w:rPr>
                <w:rFonts w:eastAsia="宋体"/>
                <w:sz w:val="18"/>
                <w:szCs w:val="18"/>
                <w:lang w:eastAsia="zh-CN"/>
              </w:rPr>
              <w:t>是</w:t>
            </w:r>
          </w:p>
        </w:tc>
      </w:tr>
      <w:tr w14:paraId="521575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0A10A23A">
            <w:pPr>
              <w:spacing w:line="360" w:lineRule="auto"/>
              <w:rPr>
                <w:rFonts w:eastAsia="宋体"/>
                <w:sz w:val="18"/>
                <w:szCs w:val="18"/>
                <w:lang w:eastAsia="zh-CN"/>
              </w:rPr>
            </w:pPr>
          </w:p>
        </w:tc>
        <w:tc>
          <w:tcPr>
            <w:tcW w:w="1276" w:type="dxa"/>
            <w:vMerge w:val="continue"/>
          </w:tcPr>
          <w:p w14:paraId="6EA64124">
            <w:pPr>
              <w:spacing w:line="360" w:lineRule="auto"/>
              <w:rPr>
                <w:rFonts w:eastAsia="宋体"/>
                <w:sz w:val="18"/>
                <w:szCs w:val="18"/>
                <w:lang w:eastAsia="zh-CN"/>
              </w:rPr>
            </w:pPr>
          </w:p>
        </w:tc>
        <w:tc>
          <w:tcPr>
            <w:tcW w:w="1418" w:type="dxa"/>
          </w:tcPr>
          <w:p w14:paraId="3C13CCB6">
            <w:pPr>
              <w:spacing w:line="360" w:lineRule="auto"/>
              <w:rPr>
                <w:rFonts w:eastAsia="宋体"/>
                <w:sz w:val="18"/>
                <w:szCs w:val="18"/>
                <w:lang w:eastAsia="zh-CN"/>
              </w:rPr>
            </w:pPr>
            <w:r>
              <w:rPr>
                <w:rFonts w:eastAsia="宋体"/>
                <w:sz w:val="18"/>
                <w:szCs w:val="18"/>
                <w:lang w:eastAsia="zh-CN"/>
              </w:rPr>
              <w:t>0.30</w:t>
            </w:r>
          </w:p>
        </w:tc>
        <w:tc>
          <w:tcPr>
            <w:tcW w:w="1134" w:type="dxa"/>
          </w:tcPr>
          <w:p w14:paraId="166180DF">
            <w:pPr>
              <w:spacing w:line="360" w:lineRule="auto"/>
              <w:rPr>
                <w:rFonts w:eastAsia="宋体"/>
                <w:sz w:val="18"/>
                <w:szCs w:val="18"/>
                <w:lang w:eastAsia="zh-CN"/>
              </w:rPr>
            </w:pPr>
            <w:r>
              <w:rPr>
                <w:rFonts w:eastAsia="宋体"/>
                <w:sz w:val="18"/>
                <w:szCs w:val="18"/>
                <w:lang w:eastAsia="zh-CN"/>
              </w:rPr>
              <w:t>58.6</w:t>
            </w:r>
          </w:p>
        </w:tc>
        <w:tc>
          <w:tcPr>
            <w:tcW w:w="992" w:type="dxa"/>
          </w:tcPr>
          <w:p w14:paraId="234CD05F">
            <w:pPr>
              <w:spacing w:line="360" w:lineRule="auto"/>
              <w:rPr>
                <w:rFonts w:eastAsia="宋体"/>
                <w:sz w:val="18"/>
                <w:szCs w:val="18"/>
                <w:lang w:eastAsia="zh-CN"/>
              </w:rPr>
            </w:pPr>
            <w:r>
              <w:rPr>
                <w:rFonts w:eastAsia="宋体"/>
                <w:sz w:val="18"/>
                <w:szCs w:val="18"/>
                <w:lang w:eastAsia="zh-CN"/>
              </w:rPr>
              <w:t>1.4</w:t>
            </w:r>
          </w:p>
        </w:tc>
        <w:tc>
          <w:tcPr>
            <w:tcW w:w="2353" w:type="dxa"/>
          </w:tcPr>
          <w:p w14:paraId="06A9FCD9">
            <w:pPr>
              <w:spacing w:line="360" w:lineRule="auto"/>
              <w:rPr>
                <w:rFonts w:eastAsia="宋体"/>
                <w:sz w:val="18"/>
                <w:szCs w:val="18"/>
                <w:lang w:eastAsia="zh-CN"/>
              </w:rPr>
            </w:pPr>
            <w:r>
              <w:rPr>
                <w:rFonts w:eastAsia="宋体"/>
                <w:sz w:val="18"/>
                <w:szCs w:val="18"/>
                <w:lang w:eastAsia="zh-CN"/>
              </w:rPr>
              <w:t>是</w:t>
            </w:r>
          </w:p>
        </w:tc>
      </w:tr>
      <w:tr w14:paraId="2F05DF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857C87D">
            <w:pPr>
              <w:spacing w:line="360" w:lineRule="auto"/>
              <w:rPr>
                <w:rFonts w:eastAsia="宋体"/>
                <w:sz w:val="18"/>
                <w:szCs w:val="18"/>
                <w:lang w:eastAsia="zh-CN"/>
              </w:rPr>
            </w:pPr>
          </w:p>
        </w:tc>
        <w:tc>
          <w:tcPr>
            <w:tcW w:w="1276" w:type="dxa"/>
            <w:vMerge w:val="continue"/>
          </w:tcPr>
          <w:p w14:paraId="4680748D">
            <w:pPr>
              <w:spacing w:line="360" w:lineRule="auto"/>
              <w:rPr>
                <w:rFonts w:eastAsia="宋体"/>
                <w:sz w:val="18"/>
                <w:szCs w:val="18"/>
                <w:lang w:eastAsia="zh-CN"/>
              </w:rPr>
            </w:pPr>
          </w:p>
        </w:tc>
        <w:tc>
          <w:tcPr>
            <w:tcW w:w="1418" w:type="dxa"/>
          </w:tcPr>
          <w:p w14:paraId="4F24F1E9">
            <w:pPr>
              <w:spacing w:line="360" w:lineRule="auto"/>
              <w:rPr>
                <w:rFonts w:eastAsia="宋体"/>
                <w:sz w:val="18"/>
                <w:szCs w:val="18"/>
                <w:lang w:eastAsia="zh-CN"/>
              </w:rPr>
            </w:pPr>
            <w:r>
              <w:rPr>
                <w:rFonts w:eastAsia="宋体"/>
                <w:sz w:val="18"/>
                <w:szCs w:val="18"/>
                <w:lang w:eastAsia="zh-CN"/>
              </w:rPr>
              <w:t>0.40</w:t>
            </w:r>
          </w:p>
        </w:tc>
        <w:tc>
          <w:tcPr>
            <w:tcW w:w="1134" w:type="dxa"/>
          </w:tcPr>
          <w:p w14:paraId="304FA2D6">
            <w:pPr>
              <w:spacing w:line="360" w:lineRule="auto"/>
              <w:rPr>
                <w:rFonts w:eastAsia="宋体"/>
                <w:sz w:val="18"/>
                <w:szCs w:val="18"/>
                <w:lang w:eastAsia="zh-CN"/>
              </w:rPr>
            </w:pPr>
            <w:r>
              <w:rPr>
                <w:rFonts w:eastAsia="宋体"/>
                <w:sz w:val="18"/>
                <w:szCs w:val="18"/>
                <w:lang w:eastAsia="zh-CN"/>
              </w:rPr>
              <w:t>73.1</w:t>
            </w:r>
          </w:p>
        </w:tc>
        <w:tc>
          <w:tcPr>
            <w:tcW w:w="992" w:type="dxa"/>
          </w:tcPr>
          <w:p w14:paraId="100B975B">
            <w:pPr>
              <w:spacing w:line="360" w:lineRule="auto"/>
              <w:rPr>
                <w:rFonts w:eastAsia="宋体"/>
                <w:sz w:val="18"/>
                <w:szCs w:val="18"/>
                <w:lang w:eastAsia="zh-CN"/>
              </w:rPr>
            </w:pPr>
            <w:r>
              <w:rPr>
                <w:rFonts w:eastAsia="宋体"/>
                <w:sz w:val="18"/>
                <w:szCs w:val="18"/>
                <w:lang w:eastAsia="zh-CN"/>
              </w:rPr>
              <w:t>1.7</w:t>
            </w:r>
          </w:p>
        </w:tc>
        <w:tc>
          <w:tcPr>
            <w:tcW w:w="2353" w:type="dxa"/>
          </w:tcPr>
          <w:p w14:paraId="7AFAC9B6">
            <w:pPr>
              <w:spacing w:line="360" w:lineRule="auto"/>
              <w:rPr>
                <w:rFonts w:eastAsia="宋体"/>
                <w:sz w:val="18"/>
                <w:szCs w:val="18"/>
                <w:lang w:eastAsia="zh-CN"/>
              </w:rPr>
            </w:pPr>
            <w:r>
              <w:rPr>
                <w:rFonts w:eastAsia="宋体"/>
                <w:sz w:val="18"/>
                <w:szCs w:val="18"/>
                <w:lang w:eastAsia="zh-CN"/>
              </w:rPr>
              <w:t>否</w:t>
            </w:r>
          </w:p>
        </w:tc>
      </w:tr>
      <w:tr w14:paraId="5C4418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315B9051">
            <w:pPr>
              <w:spacing w:line="360" w:lineRule="auto"/>
              <w:rPr>
                <w:rFonts w:eastAsia="宋体"/>
                <w:sz w:val="18"/>
                <w:szCs w:val="18"/>
                <w:lang w:eastAsia="zh-CN"/>
              </w:rPr>
            </w:pPr>
          </w:p>
        </w:tc>
        <w:tc>
          <w:tcPr>
            <w:tcW w:w="1276" w:type="dxa"/>
            <w:vMerge w:val="continue"/>
          </w:tcPr>
          <w:p w14:paraId="68ABB5D8">
            <w:pPr>
              <w:spacing w:line="360" w:lineRule="auto"/>
              <w:rPr>
                <w:rFonts w:eastAsia="宋体"/>
                <w:sz w:val="18"/>
                <w:szCs w:val="18"/>
                <w:lang w:eastAsia="zh-CN"/>
              </w:rPr>
            </w:pPr>
          </w:p>
        </w:tc>
        <w:tc>
          <w:tcPr>
            <w:tcW w:w="1418" w:type="dxa"/>
          </w:tcPr>
          <w:p w14:paraId="61E8F21B">
            <w:pPr>
              <w:spacing w:line="360" w:lineRule="auto"/>
              <w:rPr>
                <w:rFonts w:eastAsia="宋体"/>
                <w:sz w:val="18"/>
                <w:szCs w:val="18"/>
                <w:lang w:eastAsia="zh-CN"/>
              </w:rPr>
            </w:pPr>
            <w:r>
              <w:rPr>
                <w:rFonts w:eastAsia="宋体"/>
                <w:sz w:val="18"/>
                <w:szCs w:val="18"/>
                <w:lang w:eastAsia="zh-CN"/>
              </w:rPr>
              <w:t>0.50</w:t>
            </w:r>
          </w:p>
        </w:tc>
        <w:tc>
          <w:tcPr>
            <w:tcW w:w="1134" w:type="dxa"/>
          </w:tcPr>
          <w:p w14:paraId="7063430E">
            <w:pPr>
              <w:spacing w:line="360" w:lineRule="auto"/>
              <w:rPr>
                <w:rFonts w:eastAsia="宋体"/>
                <w:sz w:val="18"/>
                <w:szCs w:val="18"/>
                <w:lang w:eastAsia="zh-CN"/>
              </w:rPr>
            </w:pPr>
            <w:r>
              <w:rPr>
                <w:rFonts w:eastAsia="宋体"/>
                <w:sz w:val="18"/>
                <w:szCs w:val="18"/>
                <w:lang w:eastAsia="zh-CN"/>
              </w:rPr>
              <w:t>85.4</w:t>
            </w:r>
          </w:p>
        </w:tc>
        <w:tc>
          <w:tcPr>
            <w:tcW w:w="992" w:type="dxa"/>
          </w:tcPr>
          <w:p w14:paraId="1DDDBB77">
            <w:pPr>
              <w:spacing w:line="360" w:lineRule="auto"/>
              <w:rPr>
                <w:rFonts w:eastAsia="宋体"/>
                <w:sz w:val="18"/>
                <w:szCs w:val="18"/>
                <w:lang w:eastAsia="zh-CN"/>
              </w:rPr>
            </w:pPr>
            <w:r>
              <w:rPr>
                <w:rFonts w:eastAsia="宋体"/>
                <w:sz w:val="18"/>
                <w:szCs w:val="18"/>
                <w:lang w:eastAsia="zh-CN"/>
              </w:rPr>
              <w:t>2.2</w:t>
            </w:r>
          </w:p>
        </w:tc>
        <w:tc>
          <w:tcPr>
            <w:tcW w:w="2353" w:type="dxa"/>
          </w:tcPr>
          <w:p w14:paraId="65EF7BF5">
            <w:pPr>
              <w:spacing w:line="360" w:lineRule="auto"/>
              <w:rPr>
                <w:rFonts w:eastAsia="宋体"/>
                <w:sz w:val="18"/>
                <w:szCs w:val="18"/>
                <w:lang w:eastAsia="zh-CN"/>
              </w:rPr>
            </w:pPr>
            <w:r>
              <w:rPr>
                <w:rFonts w:eastAsia="宋体"/>
                <w:sz w:val="18"/>
                <w:szCs w:val="18"/>
                <w:lang w:eastAsia="zh-CN"/>
              </w:rPr>
              <w:t>否</w:t>
            </w:r>
          </w:p>
        </w:tc>
      </w:tr>
      <w:tr w14:paraId="40AFB6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restart"/>
          </w:tcPr>
          <w:p w14:paraId="65655506">
            <w:pPr>
              <w:spacing w:line="360" w:lineRule="auto"/>
              <w:rPr>
                <w:rFonts w:eastAsia="宋体"/>
                <w:sz w:val="18"/>
                <w:szCs w:val="18"/>
                <w:lang w:eastAsia="zh-CN"/>
              </w:rPr>
            </w:pPr>
            <w:r>
              <w:rPr>
                <w:rFonts w:eastAsia="宋体"/>
                <w:sz w:val="18"/>
                <w:szCs w:val="18"/>
                <w:lang w:eastAsia="zh-CN"/>
              </w:rPr>
              <w:t>S03</w:t>
            </w:r>
          </w:p>
        </w:tc>
        <w:tc>
          <w:tcPr>
            <w:tcW w:w="1276" w:type="dxa"/>
            <w:vMerge w:val="restart"/>
          </w:tcPr>
          <w:p w14:paraId="528682F6">
            <w:pPr>
              <w:spacing w:line="360" w:lineRule="auto"/>
              <w:rPr>
                <w:rFonts w:eastAsia="宋体"/>
                <w:sz w:val="18"/>
                <w:szCs w:val="18"/>
                <w:lang w:eastAsia="zh-CN"/>
              </w:rPr>
            </w:pPr>
            <w:r>
              <w:rPr>
                <w:rFonts w:eastAsia="宋体"/>
                <w:sz w:val="18"/>
                <w:szCs w:val="18"/>
                <w:lang w:eastAsia="zh-CN"/>
              </w:rPr>
              <w:t>75</w:t>
            </w:r>
          </w:p>
        </w:tc>
        <w:tc>
          <w:tcPr>
            <w:tcW w:w="1418" w:type="dxa"/>
          </w:tcPr>
          <w:p w14:paraId="2D962B2B">
            <w:pPr>
              <w:spacing w:line="360" w:lineRule="auto"/>
              <w:rPr>
                <w:rFonts w:eastAsia="宋体"/>
                <w:sz w:val="18"/>
                <w:szCs w:val="18"/>
                <w:lang w:eastAsia="zh-CN"/>
              </w:rPr>
            </w:pPr>
            <w:r>
              <w:rPr>
                <w:rFonts w:eastAsia="宋体"/>
                <w:sz w:val="18"/>
                <w:szCs w:val="18"/>
                <w:lang w:eastAsia="zh-CN"/>
              </w:rPr>
              <w:t>0.10</w:t>
            </w:r>
          </w:p>
        </w:tc>
        <w:tc>
          <w:tcPr>
            <w:tcW w:w="1134" w:type="dxa"/>
          </w:tcPr>
          <w:p w14:paraId="47E09E85">
            <w:pPr>
              <w:spacing w:line="360" w:lineRule="auto"/>
              <w:rPr>
                <w:rFonts w:eastAsia="宋体"/>
                <w:sz w:val="18"/>
                <w:szCs w:val="18"/>
                <w:lang w:eastAsia="zh-CN"/>
              </w:rPr>
            </w:pPr>
            <w:r>
              <w:rPr>
                <w:rFonts w:eastAsia="宋体"/>
                <w:sz w:val="18"/>
                <w:szCs w:val="18"/>
                <w:lang w:eastAsia="zh-CN"/>
              </w:rPr>
              <w:t>15.8</w:t>
            </w:r>
          </w:p>
        </w:tc>
        <w:tc>
          <w:tcPr>
            <w:tcW w:w="992" w:type="dxa"/>
          </w:tcPr>
          <w:p w14:paraId="4C18AD26">
            <w:pPr>
              <w:spacing w:line="360" w:lineRule="auto"/>
              <w:rPr>
                <w:rFonts w:eastAsia="宋体"/>
                <w:sz w:val="18"/>
                <w:szCs w:val="18"/>
                <w:lang w:eastAsia="zh-CN"/>
              </w:rPr>
            </w:pPr>
            <w:r>
              <w:rPr>
                <w:rFonts w:eastAsia="宋体"/>
                <w:sz w:val="18"/>
                <w:szCs w:val="18"/>
                <w:lang w:eastAsia="zh-CN"/>
              </w:rPr>
              <w:t>2.3</w:t>
            </w:r>
          </w:p>
        </w:tc>
        <w:tc>
          <w:tcPr>
            <w:tcW w:w="2353" w:type="dxa"/>
          </w:tcPr>
          <w:p w14:paraId="5124A237">
            <w:pPr>
              <w:spacing w:line="360" w:lineRule="auto"/>
              <w:rPr>
                <w:rFonts w:eastAsia="宋体"/>
                <w:sz w:val="18"/>
                <w:szCs w:val="18"/>
                <w:lang w:eastAsia="zh-CN"/>
              </w:rPr>
            </w:pPr>
            <w:r>
              <w:rPr>
                <w:rFonts w:eastAsia="宋体"/>
                <w:sz w:val="18"/>
                <w:szCs w:val="18"/>
                <w:lang w:eastAsia="zh-CN"/>
              </w:rPr>
              <w:t>否</w:t>
            </w:r>
          </w:p>
        </w:tc>
      </w:tr>
      <w:tr w14:paraId="30EB593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3375D688">
            <w:pPr>
              <w:spacing w:line="360" w:lineRule="auto"/>
              <w:rPr>
                <w:rFonts w:eastAsia="宋体"/>
                <w:sz w:val="18"/>
                <w:szCs w:val="18"/>
                <w:lang w:eastAsia="zh-CN"/>
              </w:rPr>
            </w:pPr>
          </w:p>
        </w:tc>
        <w:tc>
          <w:tcPr>
            <w:tcW w:w="1276" w:type="dxa"/>
            <w:vMerge w:val="continue"/>
          </w:tcPr>
          <w:p w14:paraId="6953CDD4">
            <w:pPr>
              <w:spacing w:line="360" w:lineRule="auto"/>
              <w:rPr>
                <w:rFonts w:eastAsia="宋体"/>
                <w:sz w:val="18"/>
                <w:szCs w:val="18"/>
                <w:lang w:eastAsia="zh-CN"/>
              </w:rPr>
            </w:pPr>
          </w:p>
        </w:tc>
        <w:tc>
          <w:tcPr>
            <w:tcW w:w="1418" w:type="dxa"/>
          </w:tcPr>
          <w:p w14:paraId="44207FF7">
            <w:pPr>
              <w:spacing w:line="360" w:lineRule="auto"/>
              <w:rPr>
                <w:rFonts w:eastAsia="宋体"/>
                <w:sz w:val="18"/>
                <w:szCs w:val="18"/>
                <w:lang w:eastAsia="zh-CN"/>
              </w:rPr>
            </w:pPr>
            <w:r>
              <w:rPr>
                <w:rFonts w:eastAsia="宋体"/>
                <w:sz w:val="18"/>
                <w:szCs w:val="18"/>
                <w:lang w:eastAsia="zh-CN"/>
              </w:rPr>
              <w:t>0.20</w:t>
            </w:r>
          </w:p>
        </w:tc>
        <w:tc>
          <w:tcPr>
            <w:tcW w:w="1134" w:type="dxa"/>
          </w:tcPr>
          <w:p w14:paraId="5EEC5CE2">
            <w:pPr>
              <w:spacing w:line="360" w:lineRule="auto"/>
              <w:rPr>
                <w:rFonts w:eastAsia="宋体"/>
                <w:sz w:val="18"/>
                <w:szCs w:val="18"/>
                <w:lang w:eastAsia="zh-CN"/>
              </w:rPr>
            </w:pPr>
            <w:r>
              <w:rPr>
                <w:rFonts w:eastAsia="宋体"/>
                <w:sz w:val="18"/>
                <w:szCs w:val="18"/>
                <w:lang w:eastAsia="zh-CN"/>
              </w:rPr>
              <w:t>29.1</w:t>
            </w:r>
          </w:p>
        </w:tc>
        <w:tc>
          <w:tcPr>
            <w:tcW w:w="992" w:type="dxa"/>
          </w:tcPr>
          <w:p w14:paraId="5019AE84">
            <w:pPr>
              <w:spacing w:line="360" w:lineRule="auto"/>
              <w:rPr>
                <w:rFonts w:eastAsia="宋体"/>
                <w:sz w:val="18"/>
                <w:szCs w:val="18"/>
                <w:lang w:eastAsia="zh-CN"/>
              </w:rPr>
            </w:pPr>
            <w:r>
              <w:rPr>
                <w:rFonts w:eastAsia="宋体"/>
                <w:sz w:val="18"/>
                <w:szCs w:val="18"/>
                <w:lang w:eastAsia="zh-CN"/>
              </w:rPr>
              <w:t>1.9</w:t>
            </w:r>
          </w:p>
        </w:tc>
        <w:tc>
          <w:tcPr>
            <w:tcW w:w="2353" w:type="dxa"/>
          </w:tcPr>
          <w:p w14:paraId="3B8B2C1F">
            <w:pPr>
              <w:spacing w:line="360" w:lineRule="auto"/>
              <w:rPr>
                <w:rFonts w:eastAsia="宋体"/>
                <w:sz w:val="18"/>
                <w:szCs w:val="18"/>
                <w:lang w:eastAsia="zh-CN"/>
              </w:rPr>
            </w:pPr>
            <w:r>
              <w:rPr>
                <w:rFonts w:eastAsia="宋体"/>
                <w:sz w:val="18"/>
                <w:szCs w:val="18"/>
                <w:lang w:eastAsia="zh-CN"/>
              </w:rPr>
              <w:t>否（临近）</w:t>
            </w:r>
          </w:p>
        </w:tc>
      </w:tr>
      <w:tr w14:paraId="23D0BD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30F846C9">
            <w:pPr>
              <w:spacing w:line="360" w:lineRule="auto"/>
              <w:rPr>
                <w:rFonts w:eastAsia="宋体"/>
                <w:sz w:val="18"/>
                <w:szCs w:val="18"/>
                <w:lang w:eastAsia="zh-CN"/>
              </w:rPr>
            </w:pPr>
          </w:p>
        </w:tc>
        <w:tc>
          <w:tcPr>
            <w:tcW w:w="1276" w:type="dxa"/>
            <w:vMerge w:val="continue"/>
          </w:tcPr>
          <w:p w14:paraId="77EE50B4">
            <w:pPr>
              <w:spacing w:line="360" w:lineRule="auto"/>
              <w:rPr>
                <w:rFonts w:eastAsia="宋体"/>
                <w:sz w:val="18"/>
                <w:szCs w:val="18"/>
                <w:lang w:eastAsia="zh-CN"/>
              </w:rPr>
            </w:pPr>
          </w:p>
        </w:tc>
        <w:tc>
          <w:tcPr>
            <w:tcW w:w="1418" w:type="dxa"/>
          </w:tcPr>
          <w:p w14:paraId="5CF4C654">
            <w:pPr>
              <w:spacing w:line="360" w:lineRule="auto"/>
              <w:rPr>
                <w:rFonts w:eastAsia="宋体"/>
                <w:sz w:val="18"/>
                <w:szCs w:val="18"/>
                <w:lang w:eastAsia="zh-CN"/>
              </w:rPr>
            </w:pPr>
            <w:r>
              <w:rPr>
                <w:rFonts w:eastAsia="宋体"/>
                <w:sz w:val="18"/>
                <w:szCs w:val="18"/>
                <w:lang w:eastAsia="zh-CN"/>
              </w:rPr>
              <w:t>0.30</w:t>
            </w:r>
          </w:p>
        </w:tc>
        <w:tc>
          <w:tcPr>
            <w:tcW w:w="1134" w:type="dxa"/>
          </w:tcPr>
          <w:p w14:paraId="769D2674">
            <w:pPr>
              <w:spacing w:line="360" w:lineRule="auto"/>
              <w:rPr>
                <w:rFonts w:eastAsia="宋体"/>
                <w:sz w:val="18"/>
                <w:szCs w:val="18"/>
                <w:lang w:eastAsia="zh-CN"/>
              </w:rPr>
            </w:pPr>
            <w:r>
              <w:rPr>
                <w:rFonts w:eastAsia="宋体"/>
                <w:sz w:val="18"/>
                <w:szCs w:val="18"/>
                <w:lang w:eastAsia="zh-CN"/>
              </w:rPr>
              <w:t>43.2</w:t>
            </w:r>
          </w:p>
        </w:tc>
        <w:tc>
          <w:tcPr>
            <w:tcW w:w="992" w:type="dxa"/>
          </w:tcPr>
          <w:p w14:paraId="41ECBC95">
            <w:pPr>
              <w:spacing w:line="360" w:lineRule="auto"/>
              <w:rPr>
                <w:rFonts w:eastAsia="宋体"/>
                <w:sz w:val="18"/>
                <w:szCs w:val="18"/>
                <w:lang w:eastAsia="zh-CN"/>
              </w:rPr>
            </w:pPr>
            <w:r>
              <w:rPr>
                <w:rFonts w:eastAsia="宋体"/>
                <w:sz w:val="18"/>
                <w:szCs w:val="18"/>
                <w:lang w:eastAsia="zh-CN"/>
              </w:rPr>
              <w:t>1.7</w:t>
            </w:r>
          </w:p>
        </w:tc>
        <w:tc>
          <w:tcPr>
            <w:tcW w:w="2353" w:type="dxa"/>
          </w:tcPr>
          <w:p w14:paraId="54D13083">
            <w:pPr>
              <w:spacing w:line="360" w:lineRule="auto"/>
              <w:rPr>
                <w:rFonts w:eastAsia="宋体"/>
                <w:sz w:val="18"/>
                <w:szCs w:val="18"/>
                <w:lang w:eastAsia="zh-CN"/>
              </w:rPr>
            </w:pPr>
            <w:r>
              <w:rPr>
                <w:rFonts w:eastAsia="宋体"/>
                <w:sz w:val="18"/>
                <w:szCs w:val="18"/>
                <w:lang w:eastAsia="zh-CN"/>
              </w:rPr>
              <w:t>是</w:t>
            </w:r>
          </w:p>
        </w:tc>
      </w:tr>
      <w:tr w14:paraId="03DE215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47062284">
            <w:pPr>
              <w:spacing w:line="360" w:lineRule="auto"/>
              <w:rPr>
                <w:rFonts w:eastAsia="宋体"/>
                <w:sz w:val="18"/>
                <w:szCs w:val="18"/>
                <w:lang w:eastAsia="zh-CN"/>
              </w:rPr>
            </w:pPr>
          </w:p>
        </w:tc>
        <w:tc>
          <w:tcPr>
            <w:tcW w:w="1276" w:type="dxa"/>
            <w:vMerge w:val="continue"/>
          </w:tcPr>
          <w:p w14:paraId="1FA7B85C">
            <w:pPr>
              <w:spacing w:line="360" w:lineRule="auto"/>
              <w:rPr>
                <w:rFonts w:eastAsia="宋体"/>
                <w:sz w:val="18"/>
                <w:szCs w:val="18"/>
                <w:lang w:eastAsia="zh-CN"/>
              </w:rPr>
            </w:pPr>
          </w:p>
        </w:tc>
        <w:tc>
          <w:tcPr>
            <w:tcW w:w="1418" w:type="dxa"/>
          </w:tcPr>
          <w:p w14:paraId="5E68C0E0">
            <w:pPr>
              <w:spacing w:line="360" w:lineRule="auto"/>
              <w:rPr>
                <w:rFonts w:eastAsia="宋体"/>
                <w:sz w:val="18"/>
                <w:szCs w:val="18"/>
                <w:lang w:eastAsia="zh-CN"/>
              </w:rPr>
            </w:pPr>
            <w:r>
              <w:rPr>
                <w:rFonts w:eastAsia="宋体"/>
                <w:sz w:val="18"/>
                <w:szCs w:val="18"/>
                <w:lang w:eastAsia="zh-CN"/>
              </w:rPr>
              <w:t>0.40</w:t>
            </w:r>
          </w:p>
        </w:tc>
        <w:tc>
          <w:tcPr>
            <w:tcW w:w="1134" w:type="dxa"/>
          </w:tcPr>
          <w:p w14:paraId="51D49381">
            <w:pPr>
              <w:spacing w:line="360" w:lineRule="auto"/>
              <w:rPr>
                <w:rFonts w:eastAsia="宋体"/>
                <w:sz w:val="18"/>
                <w:szCs w:val="18"/>
                <w:lang w:eastAsia="zh-CN"/>
              </w:rPr>
            </w:pPr>
            <w:r>
              <w:rPr>
                <w:rFonts w:eastAsia="宋体"/>
                <w:sz w:val="18"/>
                <w:szCs w:val="18"/>
                <w:lang w:eastAsia="zh-CN"/>
              </w:rPr>
              <w:t>56.9</w:t>
            </w:r>
          </w:p>
        </w:tc>
        <w:tc>
          <w:tcPr>
            <w:tcW w:w="992" w:type="dxa"/>
          </w:tcPr>
          <w:p w14:paraId="7AC52A3A">
            <w:pPr>
              <w:spacing w:line="360" w:lineRule="auto"/>
              <w:rPr>
                <w:rFonts w:eastAsia="宋体"/>
                <w:sz w:val="18"/>
                <w:szCs w:val="18"/>
                <w:lang w:eastAsia="zh-CN"/>
              </w:rPr>
            </w:pPr>
            <w:r>
              <w:rPr>
                <w:rFonts w:eastAsia="宋体"/>
                <w:sz w:val="18"/>
                <w:szCs w:val="18"/>
                <w:lang w:eastAsia="zh-CN"/>
              </w:rPr>
              <w:t>1.5</w:t>
            </w:r>
          </w:p>
        </w:tc>
        <w:tc>
          <w:tcPr>
            <w:tcW w:w="2353" w:type="dxa"/>
          </w:tcPr>
          <w:p w14:paraId="0BB015D5">
            <w:pPr>
              <w:spacing w:line="360" w:lineRule="auto"/>
              <w:rPr>
                <w:rFonts w:eastAsia="宋体"/>
                <w:sz w:val="18"/>
                <w:szCs w:val="18"/>
                <w:lang w:eastAsia="zh-CN"/>
              </w:rPr>
            </w:pPr>
            <w:r>
              <w:rPr>
                <w:rFonts w:eastAsia="宋体"/>
                <w:sz w:val="18"/>
                <w:szCs w:val="18"/>
                <w:lang w:eastAsia="zh-CN"/>
              </w:rPr>
              <w:t>是</w:t>
            </w:r>
          </w:p>
        </w:tc>
      </w:tr>
      <w:tr w14:paraId="799E5A5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54EA952">
            <w:pPr>
              <w:spacing w:line="360" w:lineRule="auto"/>
              <w:rPr>
                <w:rFonts w:eastAsia="宋体"/>
                <w:sz w:val="18"/>
                <w:szCs w:val="18"/>
                <w:lang w:eastAsia="zh-CN"/>
              </w:rPr>
            </w:pPr>
          </w:p>
        </w:tc>
        <w:tc>
          <w:tcPr>
            <w:tcW w:w="1276" w:type="dxa"/>
            <w:vMerge w:val="continue"/>
          </w:tcPr>
          <w:p w14:paraId="5A1ABD95">
            <w:pPr>
              <w:spacing w:line="360" w:lineRule="auto"/>
              <w:rPr>
                <w:rFonts w:eastAsia="宋体"/>
                <w:sz w:val="18"/>
                <w:szCs w:val="18"/>
                <w:lang w:eastAsia="zh-CN"/>
              </w:rPr>
            </w:pPr>
          </w:p>
        </w:tc>
        <w:tc>
          <w:tcPr>
            <w:tcW w:w="1418" w:type="dxa"/>
          </w:tcPr>
          <w:p w14:paraId="0FBE71E0">
            <w:pPr>
              <w:spacing w:line="360" w:lineRule="auto"/>
              <w:rPr>
                <w:rFonts w:eastAsia="宋体"/>
                <w:sz w:val="18"/>
                <w:szCs w:val="18"/>
                <w:lang w:eastAsia="zh-CN"/>
              </w:rPr>
            </w:pPr>
            <w:r>
              <w:rPr>
                <w:rFonts w:eastAsia="宋体"/>
                <w:sz w:val="18"/>
                <w:szCs w:val="18"/>
                <w:lang w:eastAsia="zh-CN"/>
              </w:rPr>
              <w:t>0.50</w:t>
            </w:r>
          </w:p>
        </w:tc>
        <w:tc>
          <w:tcPr>
            <w:tcW w:w="1134" w:type="dxa"/>
          </w:tcPr>
          <w:p w14:paraId="16EFA276">
            <w:pPr>
              <w:spacing w:line="360" w:lineRule="auto"/>
              <w:rPr>
                <w:rFonts w:eastAsia="宋体"/>
                <w:sz w:val="18"/>
                <w:szCs w:val="18"/>
                <w:lang w:eastAsia="zh-CN"/>
              </w:rPr>
            </w:pPr>
            <w:r>
              <w:rPr>
                <w:rFonts w:eastAsia="宋体"/>
                <w:sz w:val="18"/>
                <w:szCs w:val="18"/>
                <w:lang w:eastAsia="zh-CN"/>
              </w:rPr>
              <w:t>70.5</w:t>
            </w:r>
          </w:p>
        </w:tc>
        <w:tc>
          <w:tcPr>
            <w:tcW w:w="992" w:type="dxa"/>
          </w:tcPr>
          <w:p w14:paraId="5D9D28FD">
            <w:pPr>
              <w:spacing w:line="360" w:lineRule="auto"/>
              <w:rPr>
                <w:rFonts w:eastAsia="宋体"/>
                <w:sz w:val="18"/>
                <w:szCs w:val="18"/>
                <w:lang w:eastAsia="zh-CN"/>
              </w:rPr>
            </w:pPr>
            <w:r>
              <w:rPr>
                <w:rFonts w:eastAsia="宋体"/>
                <w:sz w:val="18"/>
                <w:szCs w:val="18"/>
                <w:lang w:eastAsia="zh-CN"/>
              </w:rPr>
              <w:t>1.9</w:t>
            </w:r>
          </w:p>
        </w:tc>
        <w:tc>
          <w:tcPr>
            <w:tcW w:w="2353" w:type="dxa"/>
          </w:tcPr>
          <w:p w14:paraId="10192CF7">
            <w:pPr>
              <w:spacing w:line="360" w:lineRule="auto"/>
              <w:rPr>
                <w:rFonts w:eastAsia="宋体"/>
                <w:sz w:val="18"/>
                <w:szCs w:val="18"/>
                <w:lang w:eastAsia="zh-CN"/>
              </w:rPr>
            </w:pPr>
            <w:r>
              <w:rPr>
                <w:rFonts w:eastAsia="宋体"/>
                <w:sz w:val="18"/>
                <w:szCs w:val="18"/>
                <w:lang w:eastAsia="zh-CN"/>
              </w:rPr>
              <w:t>否</w:t>
            </w:r>
          </w:p>
        </w:tc>
      </w:tr>
      <w:tr w14:paraId="2065BE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restart"/>
          </w:tcPr>
          <w:p w14:paraId="4C666A5A">
            <w:pPr>
              <w:spacing w:line="360" w:lineRule="auto"/>
              <w:rPr>
                <w:rFonts w:eastAsia="宋体"/>
                <w:sz w:val="18"/>
                <w:szCs w:val="18"/>
                <w:lang w:eastAsia="zh-CN"/>
              </w:rPr>
            </w:pPr>
            <w:r>
              <w:rPr>
                <w:rFonts w:eastAsia="宋体"/>
                <w:sz w:val="18"/>
                <w:szCs w:val="18"/>
                <w:lang w:eastAsia="zh-CN"/>
              </w:rPr>
              <w:t>S04</w:t>
            </w:r>
          </w:p>
        </w:tc>
        <w:tc>
          <w:tcPr>
            <w:tcW w:w="1276" w:type="dxa"/>
            <w:vMerge w:val="restart"/>
          </w:tcPr>
          <w:p w14:paraId="7FBA0418">
            <w:pPr>
              <w:spacing w:line="360" w:lineRule="auto"/>
              <w:rPr>
                <w:rFonts w:eastAsia="宋体"/>
                <w:sz w:val="18"/>
                <w:szCs w:val="18"/>
                <w:lang w:eastAsia="zh-CN"/>
              </w:rPr>
            </w:pPr>
            <w:r>
              <w:rPr>
                <w:rFonts w:eastAsia="宋体"/>
                <w:sz w:val="18"/>
                <w:szCs w:val="18"/>
                <w:lang w:eastAsia="zh-CN"/>
              </w:rPr>
              <w:t>130</w:t>
            </w:r>
          </w:p>
        </w:tc>
        <w:tc>
          <w:tcPr>
            <w:tcW w:w="1418" w:type="dxa"/>
          </w:tcPr>
          <w:p w14:paraId="613C5944">
            <w:pPr>
              <w:spacing w:line="360" w:lineRule="auto"/>
              <w:rPr>
                <w:rFonts w:eastAsia="宋体"/>
                <w:sz w:val="18"/>
                <w:szCs w:val="18"/>
                <w:lang w:eastAsia="zh-CN"/>
              </w:rPr>
            </w:pPr>
            <w:r>
              <w:rPr>
                <w:rFonts w:eastAsia="宋体"/>
                <w:sz w:val="18"/>
                <w:szCs w:val="18"/>
                <w:lang w:eastAsia="zh-CN"/>
              </w:rPr>
              <w:t>0.10</w:t>
            </w:r>
          </w:p>
        </w:tc>
        <w:tc>
          <w:tcPr>
            <w:tcW w:w="1134" w:type="dxa"/>
          </w:tcPr>
          <w:p w14:paraId="0F0B9BC1">
            <w:pPr>
              <w:spacing w:line="360" w:lineRule="auto"/>
              <w:rPr>
                <w:rFonts w:eastAsia="宋体"/>
                <w:sz w:val="18"/>
                <w:szCs w:val="18"/>
                <w:lang w:eastAsia="zh-CN"/>
              </w:rPr>
            </w:pPr>
            <w:r>
              <w:rPr>
                <w:rFonts w:eastAsia="宋体"/>
                <w:sz w:val="18"/>
                <w:szCs w:val="18"/>
                <w:lang w:eastAsia="zh-CN"/>
              </w:rPr>
              <w:t>26.4</w:t>
            </w:r>
          </w:p>
        </w:tc>
        <w:tc>
          <w:tcPr>
            <w:tcW w:w="992" w:type="dxa"/>
          </w:tcPr>
          <w:p w14:paraId="4A1FCF72">
            <w:pPr>
              <w:spacing w:line="360" w:lineRule="auto"/>
              <w:rPr>
                <w:rFonts w:eastAsia="宋体"/>
                <w:sz w:val="18"/>
                <w:szCs w:val="18"/>
                <w:lang w:eastAsia="zh-CN"/>
              </w:rPr>
            </w:pPr>
            <w:r>
              <w:rPr>
                <w:rFonts w:eastAsia="宋体"/>
                <w:sz w:val="18"/>
                <w:szCs w:val="18"/>
                <w:lang w:eastAsia="zh-CN"/>
              </w:rPr>
              <w:t>2.0</w:t>
            </w:r>
          </w:p>
        </w:tc>
        <w:tc>
          <w:tcPr>
            <w:tcW w:w="2353" w:type="dxa"/>
          </w:tcPr>
          <w:p w14:paraId="1847F268">
            <w:pPr>
              <w:spacing w:line="360" w:lineRule="auto"/>
              <w:rPr>
                <w:rFonts w:eastAsia="宋体"/>
                <w:sz w:val="18"/>
                <w:szCs w:val="18"/>
                <w:lang w:eastAsia="zh-CN"/>
              </w:rPr>
            </w:pPr>
            <w:r>
              <w:rPr>
                <w:rFonts w:eastAsia="宋体"/>
                <w:sz w:val="18"/>
                <w:szCs w:val="18"/>
                <w:lang w:eastAsia="zh-CN"/>
              </w:rPr>
              <w:t>否</w:t>
            </w:r>
          </w:p>
        </w:tc>
      </w:tr>
      <w:tr w14:paraId="1238D59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C0D876D">
            <w:pPr>
              <w:spacing w:line="360" w:lineRule="auto"/>
              <w:rPr>
                <w:rFonts w:eastAsia="宋体"/>
                <w:sz w:val="18"/>
                <w:szCs w:val="18"/>
                <w:lang w:eastAsia="zh-CN"/>
              </w:rPr>
            </w:pPr>
          </w:p>
        </w:tc>
        <w:tc>
          <w:tcPr>
            <w:tcW w:w="1276" w:type="dxa"/>
            <w:vMerge w:val="continue"/>
          </w:tcPr>
          <w:p w14:paraId="62967C84">
            <w:pPr>
              <w:spacing w:line="360" w:lineRule="auto"/>
              <w:rPr>
                <w:rFonts w:eastAsia="宋体"/>
                <w:sz w:val="18"/>
                <w:szCs w:val="18"/>
                <w:lang w:eastAsia="zh-CN"/>
              </w:rPr>
            </w:pPr>
          </w:p>
        </w:tc>
        <w:tc>
          <w:tcPr>
            <w:tcW w:w="1418" w:type="dxa"/>
          </w:tcPr>
          <w:p w14:paraId="18EE6EBC">
            <w:pPr>
              <w:spacing w:line="360" w:lineRule="auto"/>
              <w:rPr>
                <w:rFonts w:eastAsia="宋体"/>
                <w:sz w:val="18"/>
                <w:szCs w:val="18"/>
                <w:lang w:eastAsia="zh-CN"/>
              </w:rPr>
            </w:pPr>
            <w:r>
              <w:rPr>
                <w:rFonts w:eastAsia="宋体"/>
                <w:sz w:val="18"/>
                <w:szCs w:val="18"/>
                <w:lang w:eastAsia="zh-CN"/>
              </w:rPr>
              <w:t>0.20</w:t>
            </w:r>
          </w:p>
        </w:tc>
        <w:tc>
          <w:tcPr>
            <w:tcW w:w="1134" w:type="dxa"/>
          </w:tcPr>
          <w:p w14:paraId="00C7CB8B">
            <w:pPr>
              <w:spacing w:line="360" w:lineRule="auto"/>
              <w:rPr>
                <w:rFonts w:eastAsia="宋体"/>
                <w:sz w:val="18"/>
                <w:szCs w:val="18"/>
                <w:lang w:eastAsia="zh-CN"/>
              </w:rPr>
            </w:pPr>
            <w:r>
              <w:rPr>
                <w:rFonts w:eastAsia="宋体"/>
                <w:sz w:val="18"/>
                <w:szCs w:val="18"/>
                <w:lang w:eastAsia="zh-CN"/>
              </w:rPr>
              <w:t>48.9</w:t>
            </w:r>
          </w:p>
        </w:tc>
        <w:tc>
          <w:tcPr>
            <w:tcW w:w="992" w:type="dxa"/>
          </w:tcPr>
          <w:p w14:paraId="265DAA6A">
            <w:pPr>
              <w:spacing w:line="360" w:lineRule="auto"/>
              <w:rPr>
                <w:rFonts w:eastAsia="宋体"/>
                <w:sz w:val="18"/>
                <w:szCs w:val="18"/>
                <w:lang w:eastAsia="zh-CN"/>
              </w:rPr>
            </w:pPr>
            <w:r>
              <w:rPr>
                <w:rFonts w:eastAsia="宋体"/>
                <w:sz w:val="18"/>
                <w:szCs w:val="18"/>
                <w:lang w:eastAsia="zh-CN"/>
              </w:rPr>
              <w:t>1.5</w:t>
            </w:r>
          </w:p>
        </w:tc>
        <w:tc>
          <w:tcPr>
            <w:tcW w:w="2353" w:type="dxa"/>
          </w:tcPr>
          <w:p w14:paraId="6470C977">
            <w:pPr>
              <w:spacing w:line="360" w:lineRule="auto"/>
              <w:rPr>
                <w:rFonts w:eastAsia="宋体"/>
                <w:sz w:val="18"/>
                <w:szCs w:val="18"/>
                <w:lang w:eastAsia="zh-CN"/>
              </w:rPr>
            </w:pPr>
            <w:r>
              <w:rPr>
                <w:rFonts w:eastAsia="宋体"/>
                <w:sz w:val="18"/>
                <w:szCs w:val="18"/>
                <w:lang w:eastAsia="zh-CN"/>
              </w:rPr>
              <w:t>是</w:t>
            </w:r>
          </w:p>
        </w:tc>
      </w:tr>
      <w:tr w14:paraId="158AEF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098BD8B1">
            <w:pPr>
              <w:spacing w:line="360" w:lineRule="auto"/>
              <w:rPr>
                <w:rFonts w:eastAsia="宋体"/>
                <w:sz w:val="18"/>
                <w:szCs w:val="18"/>
                <w:lang w:eastAsia="zh-CN"/>
              </w:rPr>
            </w:pPr>
          </w:p>
        </w:tc>
        <w:tc>
          <w:tcPr>
            <w:tcW w:w="1276" w:type="dxa"/>
            <w:vMerge w:val="continue"/>
          </w:tcPr>
          <w:p w14:paraId="36880EA6">
            <w:pPr>
              <w:spacing w:line="360" w:lineRule="auto"/>
              <w:rPr>
                <w:rFonts w:eastAsia="宋体"/>
                <w:sz w:val="18"/>
                <w:szCs w:val="18"/>
                <w:lang w:eastAsia="zh-CN"/>
              </w:rPr>
            </w:pPr>
          </w:p>
        </w:tc>
        <w:tc>
          <w:tcPr>
            <w:tcW w:w="1418" w:type="dxa"/>
          </w:tcPr>
          <w:p w14:paraId="72073B31">
            <w:pPr>
              <w:spacing w:line="360" w:lineRule="auto"/>
              <w:rPr>
                <w:rFonts w:eastAsia="宋体"/>
                <w:sz w:val="18"/>
                <w:szCs w:val="18"/>
                <w:lang w:eastAsia="zh-CN"/>
              </w:rPr>
            </w:pPr>
            <w:r>
              <w:rPr>
                <w:rFonts w:eastAsia="宋体"/>
                <w:sz w:val="18"/>
                <w:szCs w:val="18"/>
                <w:lang w:eastAsia="zh-CN"/>
              </w:rPr>
              <w:t>0.30</w:t>
            </w:r>
          </w:p>
        </w:tc>
        <w:tc>
          <w:tcPr>
            <w:tcW w:w="1134" w:type="dxa"/>
          </w:tcPr>
          <w:p w14:paraId="5585FD4B">
            <w:pPr>
              <w:spacing w:line="360" w:lineRule="auto"/>
              <w:rPr>
                <w:rFonts w:eastAsia="宋体"/>
                <w:sz w:val="18"/>
                <w:szCs w:val="18"/>
                <w:lang w:eastAsia="zh-CN"/>
              </w:rPr>
            </w:pPr>
            <w:r>
              <w:rPr>
                <w:rFonts w:eastAsia="宋体"/>
                <w:sz w:val="18"/>
                <w:szCs w:val="18"/>
                <w:lang w:eastAsia="zh-CN"/>
              </w:rPr>
              <w:t>66.3</w:t>
            </w:r>
          </w:p>
        </w:tc>
        <w:tc>
          <w:tcPr>
            <w:tcW w:w="992" w:type="dxa"/>
          </w:tcPr>
          <w:p w14:paraId="18F3751E">
            <w:pPr>
              <w:spacing w:line="360" w:lineRule="auto"/>
              <w:rPr>
                <w:rFonts w:eastAsia="宋体"/>
                <w:sz w:val="18"/>
                <w:szCs w:val="18"/>
                <w:lang w:eastAsia="zh-CN"/>
              </w:rPr>
            </w:pPr>
            <w:r>
              <w:rPr>
                <w:rFonts w:eastAsia="宋体"/>
                <w:sz w:val="18"/>
                <w:szCs w:val="18"/>
                <w:lang w:eastAsia="zh-CN"/>
              </w:rPr>
              <w:t>1.8</w:t>
            </w:r>
          </w:p>
        </w:tc>
        <w:tc>
          <w:tcPr>
            <w:tcW w:w="2353" w:type="dxa"/>
          </w:tcPr>
          <w:p w14:paraId="00653D5C">
            <w:pPr>
              <w:spacing w:line="360" w:lineRule="auto"/>
              <w:rPr>
                <w:rFonts w:eastAsia="宋体"/>
                <w:sz w:val="18"/>
                <w:szCs w:val="18"/>
                <w:lang w:eastAsia="zh-CN"/>
              </w:rPr>
            </w:pPr>
            <w:r>
              <w:rPr>
                <w:rFonts w:eastAsia="宋体"/>
                <w:sz w:val="18"/>
                <w:szCs w:val="18"/>
                <w:lang w:eastAsia="zh-CN"/>
              </w:rPr>
              <w:t>否（临近）</w:t>
            </w:r>
          </w:p>
        </w:tc>
      </w:tr>
      <w:tr w14:paraId="77DDA7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58B92F49">
            <w:pPr>
              <w:spacing w:line="360" w:lineRule="auto"/>
              <w:rPr>
                <w:rFonts w:eastAsia="宋体"/>
                <w:sz w:val="18"/>
                <w:szCs w:val="18"/>
                <w:lang w:eastAsia="zh-CN"/>
              </w:rPr>
            </w:pPr>
          </w:p>
        </w:tc>
        <w:tc>
          <w:tcPr>
            <w:tcW w:w="1276" w:type="dxa"/>
            <w:vMerge w:val="continue"/>
          </w:tcPr>
          <w:p w14:paraId="1F183F28">
            <w:pPr>
              <w:spacing w:line="360" w:lineRule="auto"/>
              <w:rPr>
                <w:rFonts w:eastAsia="宋体"/>
                <w:sz w:val="18"/>
                <w:szCs w:val="18"/>
                <w:lang w:eastAsia="zh-CN"/>
              </w:rPr>
            </w:pPr>
          </w:p>
        </w:tc>
        <w:tc>
          <w:tcPr>
            <w:tcW w:w="1418" w:type="dxa"/>
          </w:tcPr>
          <w:p w14:paraId="1BFD6641">
            <w:pPr>
              <w:spacing w:line="360" w:lineRule="auto"/>
              <w:rPr>
                <w:rFonts w:eastAsia="宋体"/>
                <w:sz w:val="18"/>
                <w:szCs w:val="18"/>
                <w:lang w:eastAsia="zh-CN"/>
              </w:rPr>
            </w:pPr>
            <w:r>
              <w:rPr>
                <w:rFonts w:eastAsia="宋体"/>
                <w:sz w:val="18"/>
                <w:szCs w:val="18"/>
                <w:lang w:eastAsia="zh-CN"/>
              </w:rPr>
              <w:t>0.40</w:t>
            </w:r>
          </w:p>
        </w:tc>
        <w:tc>
          <w:tcPr>
            <w:tcW w:w="1134" w:type="dxa"/>
          </w:tcPr>
          <w:p w14:paraId="6B2A3EFB">
            <w:pPr>
              <w:spacing w:line="360" w:lineRule="auto"/>
              <w:rPr>
                <w:rFonts w:eastAsia="宋体"/>
                <w:sz w:val="18"/>
                <w:szCs w:val="18"/>
                <w:lang w:eastAsia="zh-CN"/>
              </w:rPr>
            </w:pPr>
            <w:r>
              <w:rPr>
                <w:rFonts w:eastAsia="宋体"/>
                <w:sz w:val="18"/>
                <w:szCs w:val="18"/>
                <w:lang w:eastAsia="zh-CN"/>
              </w:rPr>
              <w:t>79.8</w:t>
            </w:r>
          </w:p>
        </w:tc>
        <w:tc>
          <w:tcPr>
            <w:tcW w:w="992" w:type="dxa"/>
          </w:tcPr>
          <w:p w14:paraId="0B059EB8">
            <w:pPr>
              <w:spacing w:line="360" w:lineRule="auto"/>
              <w:rPr>
                <w:rFonts w:eastAsia="宋体"/>
                <w:sz w:val="18"/>
                <w:szCs w:val="18"/>
                <w:lang w:eastAsia="zh-CN"/>
              </w:rPr>
            </w:pPr>
            <w:r>
              <w:rPr>
                <w:rFonts w:eastAsia="宋体"/>
                <w:sz w:val="18"/>
                <w:szCs w:val="18"/>
                <w:lang w:eastAsia="zh-CN"/>
              </w:rPr>
              <w:t>2.1</w:t>
            </w:r>
          </w:p>
        </w:tc>
        <w:tc>
          <w:tcPr>
            <w:tcW w:w="2353" w:type="dxa"/>
          </w:tcPr>
          <w:p w14:paraId="63547868">
            <w:pPr>
              <w:spacing w:line="360" w:lineRule="auto"/>
              <w:rPr>
                <w:rFonts w:eastAsia="宋体"/>
                <w:sz w:val="18"/>
                <w:szCs w:val="18"/>
                <w:lang w:eastAsia="zh-CN"/>
              </w:rPr>
            </w:pPr>
            <w:r>
              <w:rPr>
                <w:rFonts w:eastAsia="宋体"/>
                <w:sz w:val="18"/>
                <w:szCs w:val="18"/>
                <w:lang w:eastAsia="zh-CN"/>
              </w:rPr>
              <w:t>否</w:t>
            </w:r>
          </w:p>
        </w:tc>
      </w:tr>
      <w:tr w14:paraId="2E8FBD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09A3DD6C">
            <w:pPr>
              <w:spacing w:line="360" w:lineRule="auto"/>
              <w:rPr>
                <w:rFonts w:eastAsia="宋体"/>
                <w:sz w:val="18"/>
                <w:szCs w:val="18"/>
                <w:lang w:eastAsia="zh-CN"/>
              </w:rPr>
            </w:pPr>
          </w:p>
        </w:tc>
        <w:tc>
          <w:tcPr>
            <w:tcW w:w="1276" w:type="dxa"/>
            <w:vMerge w:val="continue"/>
          </w:tcPr>
          <w:p w14:paraId="796571A2">
            <w:pPr>
              <w:spacing w:line="360" w:lineRule="auto"/>
              <w:rPr>
                <w:rFonts w:eastAsia="宋体"/>
                <w:sz w:val="18"/>
                <w:szCs w:val="18"/>
                <w:lang w:eastAsia="zh-CN"/>
              </w:rPr>
            </w:pPr>
          </w:p>
        </w:tc>
        <w:tc>
          <w:tcPr>
            <w:tcW w:w="1418" w:type="dxa"/>
          </w:tcPr>
          <w:p w14:paraId="7960B2A5">
            <w:pPr>
              <w:spacing w:line="360" w:lineRule="auto"/>
              <w:rPr>
                <w:rFonts w:eastAsia="宋体"/>
                <w:sz w:val="18"/>
                <w:szCs w:val="18"/>
                <w:lang w:eastAsia="zh-CN"/>
              </w:rPr>
            </w:pPr>
            <w:r>
              <w:rPr>
                <w:rFonts w:eastAsia="宋体"/>
                <w:sz w:val="18"/>
                <w:szCs w:val="18"/>
                <w:lang w:eastAsia="zh-CN"/>
              </w:rPr>
              <w:t>0.50</w:t>
            </w:r>
          </w:p>
        </w:tc>
        <w:tc>
          <w:tcPr>
            <w:tcW w:w="1134" w:type="dxa"/>
          </w:tcPr>
          <w:p w14:paraId="41550EA5">
            <w:pPr>
              <w:spacing w:line="360" w:lineRule="auto"/>
              <w:rPr>
                <w:rFonts w:eastAsia="宋体"/>
                <w:sz w:val="18"/>
                <w:szCs w:val="18"/>
                <w:lang w:eastAsia="zh-CN"/>
              </w:rPr>
            </w:pPr>
            <w:r>
              <w:rPr>
                <w:rFonts w:eastAsia="宋体"/>
                <w:sz w:val="18"/>
                <w:szCs w:val="18"/>
                <w:lang w:eastAsia="zh-CN"/>
              </w:rPr>
              <w:t>89.5</w:t>
            </w:r>
          </w:p>
        </w:tc>
        <w:tc>
          <w:tcPr>
            <w:tcW w:w="992" w:type="dxa"/>
          </w:tcPr>
          <w:p w14:paraId="782985BC">
            <w:pPr>
              <w:spacing w:line="360" w:lineRule="auto"/>
              <w:rPr>
                <w:rFonts w:eastAsia="宋体"/>
                <w:sz w:val="18"/>
                <w:szCs w:val="18"/>
                <w:lang w:eastAsia="zh-CN"/>
              </w:rPr>
            </w:pPr>
            <w:r>
              <w:rPr>
                <w:rFonts w:eastAsia="宋体"/>
                <w:sz w:val="18"/>
                <w:szCs w:val="18"/>
                <w:lang w:eastAsia="zh-CN"/>
              </w:rPr>
              <w:t>2.4</w:t>
            </w:r>
          </w:p>
        </w:tc>
        <w:tc>
          <w:tcPr>
            <w:tcW w:w="2353" w:type="dxa"/>
          </w:tcPr>
          <w:p w14:paraId="6503886B">
            <w:pPr>
              <w:spacing w:line="360" w:lineRule="auto"/>
              <w:rPr>
                <w:rFonts w:eastAsia="宋体"/>
                <w:sz w:val="18"/>
                <w:szCs w:val="18"/>
                <w:lang w:eastAsia="zh-CN"/>
              </w:rPr>
            </w:pPr>
            <w:r>
              <w:rPr>
                <w:rFonts w:eastAsia="宋体"/>
                <w:sz w:val="18"/>
                <w:szCs w:val="18"/>
                <w:lang w:eastAsia="zh-CN"/>
              </w:rPr>
              <w:t>否</w:t>
            </w:r>
          </w:p>
        </w:tc>
      </w:tr>
      <w:tr w14:paraId="2099F1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restart"/>
          </w:tcPr>
          <w:p w14:paraId="3AC24532">
            <w:pPr>
              <w:spacing w:line="360" w:lineRule="auto"/>
              <w:rPr>
                <w:rFonts w:eastAsia="宋体"/>
                <w:sz w:val="18"/>
                <w:szCs w:val="18"/>
                <w:lang w:eastAsia="zh-CN"/>
              </w:rPr>
            </w:pPr>
            <w:r>
              <w:rPr>
                <w:rFonts w:eastAsia="宋体"/>
                <w:sz w:val="18"/>
                <w:szCs w:val="18"/>
                <w:lang w:eastAsia="zh-CN"/>
              </w:rPr>
              <w:t>S05</w:t>
            </w:r>
          </w:p>
        </w:tc>
        <w:tc>
          <w:tcPr>
            <w:tcW w:w="1276" w:type="dxa"/>
            <w:vMerge w:val="restart"/>
          </w:tcPr>
          <w:p w14:paraId="4EE7D0F5">
            <w:pPr>
              <w:spacing w:line="360" w:lineRule="auto"/>
              <w:rPr>
                <w:rFonts w:eastAsia="宋体"/>
                <w:sz w:val="18"/>
                <w:szCs w:val="18"/>
                <w:lang w:eastAsia="zh-CN"/>
              </w:rPr>
            </w:pPr>
            <w:r>
              <w:rPr>
                <w:rFonts w:eastAsia="宋体"/>
                <w:sz w:val="18"/>
                <w:szCs w:val="18"/>
                <w:lang w:eastAsia="zh-CN"/>
              </w:rPr>
              <w:t>100</w:t>
            </w:r>
          </w:p>
        </w:tc>
        <w:tc>
          <w:tcPr>
            <w:tcW w:w="1418" w:type="dxa"/>
          </w:tcPr>
          <w:p w14:paraId="59110F42">
            <w:pPr>
              <w:spacing w:line="360" w:lineRule="auto"/>
              <w:rPr>
                <w:rFonts w:eastAsia="宋体"/>
                <w:sz w:val="18"/>
                <w:szCs w:val="18"/>
                <w:lang w:eastAsia="zh-CN"/>
              </w:rPr>
            </w:pPr>
            <w:r>
              <w:rPr>
                <w:rFonts w:eastAsia="宋体"/>
                <w:sz w:val="18"/>
                <w:szCs w:val="18"/>
                <w:lang w:eastAsia="zh-CN"/>
              </w:rPr>
              <w:t>0.10</w:t>
            </w:r>
          </w:p>
        </w:tc>
        <w:tc>
          <w:tcPr>
            <w:tcW w:w="1134" w:type="dxa"/>
          </w:tcPr>
          <w:p w14:paraId="583EC220">
            <w:pPr>
              <w:spacing w:line="360" w:lineRule="auto"/>
              <w:rPr>
                <w:rFonts w:eastAsia="宋体"/>
                <w:sz w:val="18"/>
                <w:szCs w:val="18"/>
                <w:lang w:eastAsia="zh-CN"/>
              </w:rPr>
            </w:pPr>
            <w:r>
              <w:rPr>
                <w:rFonts w:eastAsia="宋体"/>
                <w:sz w:val="18"/>
                <w:szCs w:val="18"/>
                <w:lang w:eastAsia="zh-CN"/>
              </w:rPr>
              <w:t>20.3</w:t>
            </w:r>
          </w:p>
        </w:tc>
        <w:tc>
          <w:tcPr>
            <w:tcW w:w="992" w:type="dxa"/>
          </w:tcPr>
          <w:p w14:paraId="3D33C124">
            <w:pPr>
              <w:spacing w:line="360" w:lineRule="auto"/>
              <w:rPr>
                <w:rFonts w:eastAsia="宋体"/>
                <w:sz w:val="18"/>
                <w:szCs w:val="18"/>
                <w:lang w:eastAsia="zh-CN"/>
              </w:rPr>
            </w:pPr>
            <w:r>
              <w:rPr>
                <w:rFonts w:eastAsia="宋体"/>
                <w:sz w:val="18"/>
                <w:szCs w:val="18"/>
                <w:lang w:eastAsia="zh-CN"/>
              </w:rPr>
              <w:t>1.7</w:t>
            </w:r>
          </w:p>
        </w:tc>
        <w:tc>
          <w:tcPr>
            <w:tcW w:w="2353" w:type="dxa"/>
          </w:tcPr>
          <w:p w14:paraId="115F6B2A">
            <w:pPr>
              <w:spacing w:line="360" w:lineRule="auto"/>
              <w:rPr>
                <w:rFonts w:eastAsia="宋体"/>
                <w:sz w:val="18"/>
                <w:szCs w:val="18"/>
                <w:lang w:eastAsia="zh-CN"/>
              </w:rPr>
            </w:pPr>
            <w:r>
              <w:rPr>
                <w:rFonts w:eastAsia="宋体"/>
                <w:sz w:val="18"/>
                <w:szCs w:val="18"/>
                <w:lang w:eastAsia="zh-CN"/>
              </w:rPr>
              <w:t>否</w:t>
            </w:r>
          </w:p>
        </w:tc>
      </w:tr>
      <w:tr w14:paraId="0C8927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D97ED72">
            <w:pPr>
              <w:spacing w:line="360" w:lineRule="auto"/>
              <w:rPr>
                <w:rFonts w:eastAsia="宋体"/>
                <w:sz w:val="18"/>
                <w:szCs w:val="18"/>
                <w:lang w:eastAsia="zh-CN"/>
              </w:rPr>
            </w:pPr>
          </w:p>
        </w:tc>
        <w:tc>
          <w:tcPr>
            <w:tcW w:w="1276" w:type="dxa"/>
            <w:vMerge w:val="continue"/>
          </w:tcPr>
          <w:p w14:paraId="5085B502">
            <w:pPr>
              <w:spacing w:line="360" w:lineRule="auto"/>
              <w:rPr>
                <w:rFonts w:eastAsia="宋体"/>
                <w:sz w:val="18"/>
                <w:szCs w:val="18"/>
                <w:lang w:eastAsia="zh-CN"/>
              </w:rPr>
            </w:pPr>
          </w:p>
        </w:tc>
        <w:tc>
          <w:tcPr>
            <w:tcW w:w="1418" w:type="dxa"/>
          </w:tcPr>
          <w:p w14:paraId="5C3D31B8">
            <w:pPr>
              <w:spacing w:line="360" w:lineRule="auto"/>
              <w:rPr>
                <w:rFonts w:eastAsia="宋体"/>
                <w:sz w:val="18"/>
                <w:szCs w:val="18"/>
                <w:lang w:eastAsia="zh-CN"/>
              </w:rPr>
            </w:pPr>
            <w:r>
              <w:rPr>
                <w:rFonts w:eastAsia="宋体"/>
                <w:sz w:val="18"/>
                <w:szCs w:val="18"/>
                <w:lang w:eastAsia="zh-CN"/>
              </w:rPr>
              <w:t>0.20</w:t>
            </w:r>
          </w:p>
        </w:tc>
        <w:tc>
          <w:tcPr>
            <w:tcW w:w="1134" w:type="dxa"/>
          </w:tcPr>
          <w:p w14:paraId="07D94642">
            <w:pPr>
              <w:spacing w:line="360" w:lineRule="auto"/>
              <w:rPr>
                <w:rFonts w:eastAsia="宋体"/>
                <w:sz w:val="18"/>
                <w:szCs w:val="18"/>
                <w:lang w:eastAsia="zh-CN"/>
              </w:rPr>
            </w:pPr>
            <w:r>
              <w:rPr>
                <w:rFonts w:eastAsia="宋体"/>
                <w:sz w:val="18"/>
                <w:szCs w:val="18"/>
                <w:lang w:eastAsia="zh-CN"/>
              </w:rPr>
              <w:t>38.4</w:t>
            </w:r>
          </w:p>
        </w:tc>
        <w:tc>
          <w:tcPr>
            <w:tcW w:w="992" w:type="dxa"/>
          </w:tcPr>
          <w:p w14:paraId="24A9E6C6">
            <w:pPr>
              <w:spacing w:line="360" w:lineRule="auto"/>
              <w:rPr>
                <w:rFonts w:eastAsia="宋体"/>
                <w:sz w:val="18"/>
                <w:szCs w:val="18"/>
                <w:lang w:eastAsia="zh-CN"/>
              </w:rPr>
            </w:pPr>
            <w:r>
              <w:rPr>
                <w:rFonts w:eastAsia="宋体"/>
                <w:sz w:val="18"/>
                <w:szCs w:val="18"/>
                <w:lang w:eastAsia="zh-CN"/>
              </w:rPr>
              <w:t>1.4</w:t>
            </w:r>
          </w:p>
        </w:tc>
        <w:tc>
          <w:tcPr>
            <w:tcW w:w="2353" w:type="dxa"/>
          </w:tcPr>
          <w:p w14:paraId="5360A97E">
            <w:pPr>
              <w:spacing w:line="360" w:lineRule="auto"/>
              <w:rPr>
                <w:rFonts w:eastAsia="宋体"/>
                <w:sz w:val="18"/>
                <w:szCs w:val="18"/>
                <w:lang w:eastAsia="zh-CN"/>
              </w:rPr>
            </w:pPr>
            <w:r>
              <w:rPr>
                <w:rFonts w:eastAsia="宋体"/>
                <w:sz w:val="18"/>
                <w:szCs w:val="18"/>
                <w:lang w:eastAsia="zh-CN"/>
              </w:rPr>
              <w:t>是</w:t>
            </w:r>
          </w:p>
        </w:tc>
      </w:tr>
      <w:tr w14:paraId="756FBBE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0DB63644">
            <w:pPr>
              <w:spacing w:line="360" w:lineRule="auto"/>
              <w:rPr>
                <w:rFonts w:eastAsia="宋体"/>
                <w:sz w:val="18"/>
                <w:szCs w:val="18"/>
                <w:lang w:eastAsia="zh-CN"/>
              </w:rPr>
            </w:pPr>
          </w:p>
        </w:tc>
        <w:tc>
          <w:tcPr>
            <w:tcW w:w="1276" w:type="dxa"/>
            <w:vMerge w:val="continue"/>
          </w:tcPr>
          <w:p w14:paraId="354EB7E0">
            <w:pPr>
              <w:spacing w:line="360" w:lineRule="auto"/>
              <w:rPr>
                <w:rFonts w:eastAsia="宋体"/>
                <w:sz w:val="18"/>
                <w:szCs w:val="18"/>
                <w:lang w:eastAsia="zh-CN"/>
              </w:rPr>
            </w:pPr>
          </w:p>
        </w:tc>
        <w:tc>
          <w:tcPr>
            <w:tcW w:w="1418" w:type="dxa"/>
          </w:tcPr>
          <w:p w14:paraId="0352FA75">
            <w:pPr>
              <w:spacing w:line="360" w:lineRule="auto"/>
              <w:rPr>
                <w:rFonts w:eastAsia="宋体"/>
                <w:sz w:val="18"/>
                <w:szCs w:val="18"/>
                <w:lang w:eastAsia="zh-CN"/>
              </w:rPr>
            </w:pPr>
            <w:r>
              <w:rPr>
                <w:rFonts w:eastAsia="宋体"/>
                <w:sz w:val="18"/>
                <w:szCs w:val="18"/>
                <w:lang w:eastAsia="zh-CN"/>
              </w:rPr>
              <w:t>0.30</w:t>
            </w:r>
          </w:p>
        </w:tc>
        <w:tc>
          <w:tcPr>
            <w:tcW w:w="1134" w:type="dxa"/>
          </w:tcPr>
          <w:p w14:paraId="62D54328">
            <w:pPr>
              <w:spacing w:line="360" w:lineRule="auto"/>
              <w:rPr>
                <w:rFonts w:eastAsia="宋体"/>
                <w:sz w:val="18"/>
                <w:szCs w:val="18"/>
                <w:lang w:eastAsia="zh-CN"/>
              </w:rPr>
            </w:pPr>
            <w:r>
              <w:rPr>
                <w:rFonts w:eastAsia="宋体"/>
                <w:sz w:val="18"/>
                <w:szCs w:val="18"/>
                <w:lang w:eastAsia="zh-CN"/>
              </w:rPr>
              <w:t>55.1</w:t>
            </w:r>
          </w:p>
        </w:tc>
        <w:tc>
          <w:tcPr>
            <w:tcW w:w="992" w:type="dxa"/>
          </w:tcPr>
          <w:p w14:paraId="14C57C56">
            <w:pPr>
              <w:spacing w:line="360" w:lineRule="auto"/>
              <w:rPr>
                <w:rFonts w:eastAsia="宋体"/>
                <w:sz w:val="18"/>
                <w:szCs w:val="18"/>
                <w:lang w:eastAsia="zh-CN"/>
              </w:rPr>
            </w:pPr>
            <w:r>
              <w:rPr>
                <w:rFonts w:eastAsia="宋体"/>
                <w:sz w:val="18"/>
                <w:szCs w:val="18"/>
                <w:lang w:eastAsia="zh-CN"/>
              </w:rPr>
              <w:t>1.2</w:t>
            </w:r>
          </w:p>
        </w:tc>
        <w:tc>
          <w:tcPr>
            <w:tcW w:w="2353" w:type="dxa"/>
          </w:tcPr>
          <w:p w14:paraId="01807B35">
            <w:pPr>
              <w:spacing w:line="360" w:lineRule="auto"/>
              <w:rPr>
                <w:rFonts w:eastAsia="宋体"/>
                <w:sz w:val="18"/>
                <w:szCs w:val="18"/>
                <w:lang w:eastAsia="zh-CN"/>
              </w:rPr>
            </w:pPr>
            <w:r>
              <w:rPr>
                <w:rFonts w:eastAsia="宋体"/>
                <w:sz w:val="18"/>
                <w:szCs w:val="18"/>
                <w:lang w:eastAsia="zh-CN"/>
              </w:rPr>
              <w:t>是</w:t>
            </w:r>
          </w:p>
        </w:tc>
      </w:tr>
      <w:tr w14:paraId="045F041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1075BE99">
            <w:pPr>
              <w:spacing w:line="360" w:lineRule="auto"/>
              <w:rPr>
                <w:rFonts w:eastAsia="宋体"/>
                <w:sz w:val="18"/>
                <w:szCs w:val="18"/>
                <w:lang w:eastAsia="zh-CN"/>
              </w:rPr>
            </w:pPr>
          </w:p>
        </w:tc>
        <w:tc>
          <w:tcPr>
            <w:tcW w:w="1276" w:type="dxa"/>
            <w:vMerge w:val="continue"/>
          </w:tcPr>
          <w:p w14:paraId="7C58B5CD">
            <w:pPr>
              <w:spacing w:line="360" w:lineRule="auto"/>
              <w:rPr>
                <w:rFonts w:eastAsia="宋体"/>
                <w:sz w:val="18"/>
                <w:szCs w:val="18"/>
                <w:lang w:eastAsia="zh-CN"/>
              </w:rPr>
            </w:pPr>
          </w:p>
        </w:tc>
        <w:tc>
          <w:tcPr>
            <w:tcW w:w="1418" w:type="dxa"/>
          </w:tcPr>
          <w:p w14:paraId="4FB4E9CC">
            <w:pPr>
              <w:spacing w:line="360" w:lineRule="auto"/>
              <w:rPr>
                <w:rFonts w:eastAsia="宋体"/>
                <w:sz w:val="18"/>
                <w:szCs w:val="18"/>
                <w:lang w:eastAsia="zh-CN"/>
              </w:rPr>
            </w:pPr>
            <w:r>
              <w:rPr>
                <w:rFonts w:eastAsia="宋体"/>
                <w:sz w:val="18"/>
                <w:szCs w:val="18"/>
                <w:lang w:eastAsia="zh-CN"/>
              </w:rPr>
              <w:t>0.40</w:t>
            </w:r>
          </w:p>
        </w:tc>
        <w:tc>
          <w:tcPr>
            <w:tcW w:w="1134" w:type="dxa"/>
          </w:tcPr>
          <w:p w14:paraId="48D0CC10">
            <w:pPr>
              <w:spacing w:line="360" w:lineRule="auto"/>
              <w:rPr>
                <w:rFonts w:eastAsia="宋体"/>
                <w:sz w:val="18"/>
                <w:szCs w:val="18"/>
                <w:lang w:eastAsia="zh-CN"/>
              </w:rPr>
            </w:pPr>
            <w:r>
              <w:rPr>
                <w:rFonts w:eastAsia="宋体"/>
                <w:sz w:val="18"/>
                <w:szCs w:val="18"/>
                <w:lang w:eastAsia="zh-CN"/>
              </w:rPr>
              <w:t>71.6</w:t>
            </w:r>
          </w:p>
        </w:tc>
        <w:tc>
          <w:tcPr>
            <w:tcW w:w="992" w:type="dxa"/>
          </w:tcPr>
          <w:p w14:paraId="197E633A">
            <w:pPr>
              <w:spacing w:line="360" w:lineRule="auto"/>
              <w:rPr>
                <w:rFonts w:eastAsia="宋体"/>
                <w:sz w:val="18"/>
                <w:szCs w:val="18"/>
                <w:lang w:eastAsia="zh-CN"/>
              </w:rPr>
            </w:pPr>
            <w:r>
              <w:rPr>
                <w:rFonts w:eastAsia="宋体"/>
                <w:sz w:val="18"/>
                <w:szCs w:val="18"/>
                <w:lang w:eastAsia="zh-CN"/>
              </w:rPr>
              <w:t>1.6</w:t>
            </w:r>
          </w:p>
        </w:tc>
        <w:tc>
          <w:tcPr>
            <w:tcW w:w="2353" w:type="dxa"/>
          </w:tcPr>
          <w:p w14:paraId="7F02481B">
            <w:pPr>
              <w:spacing w:line="360" w:lineRule="auto"/>
              <w:rPr>
                <w:rFonts w:eastAsia="宋体"/>
                <w:sz w:val="18"/>
                <w:szCs w:val="18"/>
                <w:lang w:eastAsia="zh-CN"/>
              </w:rPr>
            </w:pPr>
            <w:r>
              <w:rPr>
                <w:rFonts w:eastAsia="宋体"/>
                <w:sz w:val="18"/>
                <w:szCs w:val="18"/>
                <w:lang w:eastAsia="zh-CN"/>
              </w:rPr>
              <w:t>否</w:t>
            </w:r>
          </w:p>
        </w:tc>
      </w:tr>
      <w:tr w14:paraId="4F534B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9" w:type="dxa"/>
            <w:vMerge w:val="continue"/>
          </w:tcPr>
          <w:p w14:paraId="59AC439A">
            <w:pPr>
              <w:spacing w:line="360" w:lineRule="auto"/>
              <w:rPr>
                <w:rFonts w:eastAsia="宋体"/>
                <w:sz w:val="18"/>
                <w:szCs w:val="18"/>
                <w:lang w:eastAsia="zh-CN"/>
              </w:rPr>
            </w:pPr>
          </w:p>
        </w:tc>
        <w:tc>
          <w:tcPr>
            <w:tcW w:w="1276" w:type="dxa"/>
            <w:vMerge w:val="continue"/>
          </w:tcPr>
          <w:p w14:paraId="3A9BD658">
            <w:pPr>
              <w:spacing w:line="360" w:lineRule="auto"/>
              <w:rPr>
                <w:rFonts w:eastAsia="宋体"/>
                <w:sz w:val="18"/>
                <w:szCs w:val="18"/>
                <w:lang w:eastAsia="zh-CN"/>
              </w:rPr>
            </w:pPr>
          </w:p>
        </w:tc>
        <w:tc>
          <w:tcPr>
            <w:tcW w:w="1418" w:type="dxa"/>
            <w:vAlign w:val="center"/>
          </w:tcPr>
          <w:p w14:paraId="7D6CB919">
            <w:pPr>
              <w:spacing w:line="360" w:lineRule="auto"/>
              <w:rPr>
                <w:rFonts w:eastAsia="宋体"/>
                <w:sz w:val="18"/>
                <w:szCs w:val="18"/>
                <w:lang w:eastAsia="zh-CN"/>
              </w:rPr>
            </w:pPr>
            <w:r>
              <w:rPr>
                <w:rFonts w:ascii="Segoe UI" w:hAnsi="Segoe UI" w:cs="Segoe UI"/>
                <w:sz w:val="18"/>
                <w:szCs w:val="18"/>
              </w:rPr>
              <w:t>0.50</w:t>
            </w:r>
          </w:p>
        </w:tc>
        <w:tc>
          <w:tcPr>
            <w:tcW w:w="1134" w:type="dxa"/>
            <w:vAlign w:val="center"/>
          </w:tcPr>
          <w:p w14:paraId="160FC323">
            <w:pPr>
              <w:spacing w:line="360" w:lineRule="auto"/>
              <w:rPr>
                <w:rFonts w:eastAsia="宋体"/>
                <w:sz w:val="18"/>
                <w:szCs w:val="18"/>
                <w:lang w:eastAsia="zh-CN"/>
              </w:rPr>
            </w:pPr>
            <w:r>
              <w:rPr>
                <w:rFonts w:ascii="Segoe UI" w:hAnsi="Segoe UI" w:cs="Segoe UI"/>
                <w:sz w:val="18"/>
                <w:szCs w:val="18"/>
              </w:rPr>
              <w:t>83.2</w:t>
            </w:r>
          </w:p>
        </w:tc>
        <w:tc>
          <w:tcPr>
            <w:tcW w:w="992" w:type="dxa"/>
            <w:vAlign w:val="center"/>
          </w:tcPr>
          <w:p w14:paraId="28583088">
            <w:pPr>
              <w:spacing w:line="360" w:lineRule="auto"/>
              <w:rPr>
                <w:rFonts w:eastAsia="宋体"/>
                <w:sz w:val="18"/>
                <w:szCs w:val="18"/>
                <w:lang w:eastAsia="zh-CN"/>
              </w:rPr>
            </w:pPr>
            <w:r>
              <w:rPr>
                <w:rFonts w:ascii="Segoe UI" w:hAnsi="Segoe UI" w:cs="Segoe UI"/>
                <w:sz w:val="18"/>
                <w:szCs w:val="18"/>
              </w:rPr>
              <w:t>2.0</w:t>
            </w:r>
          </w:p>
        </w:tc>
        <w:tc>
          <w:tcPr>
            <w:tcW w:w="2353" w:type="dxa"/>
            <w:vAlign w:val="center"/>
          </w:tcPr>
          <w:p w14:paraId="0E56354E">
            <w:pPr>
              <w:spacing w:line="360" w:lineRule="auto"/>
              <w:rPr>
                <w:rFonts w:eastAsia="宋体"/>
                <w:sz w:val="18"/>
                <w:szCs w:val="18"/>
                <w:lang w:eastAsia="zh-CN"/>
              </w:rPr>
            </w:pPr>
            <w:r>
              <w:rPr>
                <w:rFonts w:hint="eastAsia" w:ascii="微软雅黑" w:hAnsi="微软雅黑" w:eastAsia="微软雅黑" w:cs="微软雅黑"/>
                <w:sz w:val="18"/>
                <w:szCs w:val="18"/>
              </w:rPr>
              <w:t>否</w:t>
            </w:r>
          </w:p>
        </w:tc>
      </w:tr>
    </w:tbl>
    <w:p w14:paraId="3F999626">
      <w:pPr>
        <w:spacing w:line="360" w:lineRule="auto"/>
        <w:ind w:firstLine="420" w:firstLineChars="200"/>
        <w:rPr>
          <w:rFonts w:eastAsia="宋体"/>
          <w:sz w:val="21"/>
          <w:szCs w:val="21"/>
          <w:lang w:eastAsia="zh-CN"/>
        </w:rPr>
      </w:pPr>
    </w:p>
    <w:p w14:paraId="75E8A2E0">
      <w:pPr>
        <w:spacing w:line="360" w:lineRule="auto"/>
        <w:ind w:firstLine="420" w:firstLineChars="200"/>
        <w:rPr>
          <w:rFonts w:eastAsia="宋体"/>
          <w:sz w:val="21"/>
          <w:szCs w:val="21"/>
          <w:lang w:eastAsia="zh-CN"/>
        </w:rPr>
      </w:pPr>
      <w:r>
        <w:rPr>
          <w:rFonts w:eastAsia="宋体"/>
          <w:sz w:val="21"/>
          <w:szCs w:val="21"/>
          <w:lang w:eastAsia="zh-CN"/>
        </w:rPr>
        <w:t>数据显示，对于本研究所涵盖的活性范围（约75</w:t>
      </w:r>
      <w:r>
        <w:rPr>
          <w:rFonts w:hint="eastAsia" w:eastAsia="宋体"/>
          <w:sz w:val="21"/>
          <w:szCs w:val="21"/>
          <w:lang w:eastAsia="zh-CN"/>
        </w:rPr>
        <w:t>～</w:t>
      </w:r>
      <w:r>
        <w:rPr>
          <w:rFonts w:eastAsia="宋体"/>
          <w:sz w:val="21"/>
          <w:szCs w:val="21"/>
          <w:lang w:eastAsia="zh-CN"/>
        </w:rPr>
        <w:t>130 U/g）的样品，当测试质量分数在 0.20% 至 0.30% 之间时，其抑制率最集中地落入 30%～60% 的区间。此区间被认为是剂量-响应关系的线性与高灵敏段，能最准确地反映活性差异，并避免因抑制率过高（&gt;80%）或过低（&lt;20%）带来的测定误差放大。</w:t>
      </w:r>
    </w:p>
    <w:p w14:paraId="00E764BD">
      <w:pPr>
        <w:spacing w:line="360" w:lineRule="auto"/>
        <w:rPr>
          <w:rFonts w:eastAsia="宋体"/>
          <w:sz w:val="21"/>
          <w:szCs w:val="21"/>
          <w:lang w:eastAsia="zh-CN"/>
        </w:rPr>
      </w:pPr>
      <w:r>
        <w:rPr>
          <w:rFonts w:hint="eastAsia" w:eastAsia="宋体"/>
          <w:sz w:val="21"/>
          <w:szCs w:val="21"/>
          <w:lang w:eastAsia="zh-CN"/>
        </w:rPr>
        <w:t>2.7.3</w:t>
      </w:r>
      <w:r>
        <w:rPr>
          <w:rFonts w:eastAsia="宋体"/>
          <w:sz w:val="21"/>
          <w:szCs w:val="21"/>
          <w:lang w:eastAsia="zh-CN"/>
        </w:rPr>
        <w:t>α-淀粉酶溶液的制备</w:t>
      </w:r>
    </w:p>
    <w:p w14:paraId="78B6A0F8">
      <w:pPr>
        <w:spacing w:line="360" w:lineRule="auto"/>
        <w:ind w:firstLine="420"/>
        <w:rPr>
          <w:rFonts w:eastAsia="宋体"/>
          <w:sz w:val="21"/>
          <w:szCs w:val="21"/>
          <w:lang w:eastAsia="zh-CN"/>
        </w:rPr>
      </w:pPr>
      <w:r>
        <w:rPr>
          <w:rFonts w:hint="eastAsia" w:eastAsia="宋体"/>
          <w:sz w:val="21"/>
          <w:szCs w:val="21"/>
          <w:lang w:eastAsia="zh-CN"/>
        </w:rPr>
        <w:t>参考</w:t>
      </w:r>
      <w:r>
        <w:rPr>
          <w:rFonts w:eastAsia="宋体"/>
          <w:sz w:val="21"/>
          <w:szCs w:val="21"/>
          <w:lang w:eastAsia="zh-CN"/>
        </w:rPr>
        <w:t>《中华人民共和国药典》（202</w:t>
      </w:r>
      <w:r>
        <w:rPr>
          <w:rFonts w:hint="eastAsia" w:eastAsia="宋体"/>
          <w:sz w:val="21"/>
          <w:szCs w:val="21"/>
          <w:lang w:eastAsia="zh-CN"/>
        </w:rPr>
        <w:t>5</w:t>
      </w:r>
      <w:r>
        <w:rPr>
          <w:rFonts w:eastAsia="宋体"/>
          <w:sz w:val="21"/>
          <w:szCs w:val="21"/>
          <w:lang w:eastAsia="zh-CN"/>
        </w:rPr>
        <w:t>年版）二部“胰酶”项下的【效价测定】方法</w:t>
      </w:r>
      <w:r>
        <w:rPr>
          <w:rFonts w:hint="eastAsia" w:eastAsia="宋体"/>
          <w:sz w:val="21"/>
          <w:szCs w:val="21"/>
          <w:lang w:eastAsia="zh-CN"/>
        </w:rPr>
        <w:t>。</w:t>
      </w:r>
    </w:p>
    <w:p w14:paraId="4EC6B647">
      <w:pPr>
        <w:spacing w:line="360" w:lineRule="auto"/>
        <w:rPr>
          <w:rFonts w:eastAsia="宋体"/>
          <w:sz w:val="21"/>
          <w:szCs w:val="21"/>
          <w:lang w:eastAsia="zh-CN"/>
        </w:rPr>
      </w:pPr>
      <w:r>
        <w:rPr>
          <w:rFonts w:hint="eastAsia" w:eastAsia="宋体"/>
          <w:sz w:val="21"/>
          <w:szCs w:val="21"/>
          <w:lang w:eastAsia="zh-CN"/>
        </w:rPr>
        <w:t xml:space="preserve">2.7.4 </w:t>
      </w:r>
      <w:r>
        <w:rPr>
          <w:rFonts w:eastAsia="宋体"/>
          <w:sz w:val="21"/>
          <w:szCs w:val="21"/>
          <w:lang w:eastAsia="zh-CN"/>
        </w:rPr>
        <w:t>供试品溶液与α-淀粉酶溶液的制备</w:t>
      </w:r>
    </w:p>
    <w:p w14:paraId="6276E03F">
      <w:pPr>
        <w:spacing w:line="360" w:lineRule="auto"/>
        <w:ind w:firstLine="420"/>
        <w:rPr>
          <w:rFonts w:eastAsia="宋体"/>
          <w:sz w:val="21"/>
          <w:szCs w:val="21"/>
          <w:lang w:eastAsia="zh-CN"/>
        </w:rPr>
      </w:pPr>
      <w:r>
        <w:rPr>
          <w:rFonts w:hint="eastAsia" w:eastAsia="宋体"/>
          <w:sz w:val="21"/>
          <w:szCs w:val="21"/>
          <w:lang w:eastAsia="zh-CN"/>
        </w:rPr>
        <w:t>“</w:t>
      </w:r>
      <w:r>
        <w:rPr>
          <w:rFonts w:eastAsia="宋体"/>
          <w:sz w:val="21"/>
          <w:szCs w:val="21"/>
          <w:lang w:eastAsia="zh-CN"/>
        </w:rPr>
        <w:t>置于37℃水浴中预热8 min</w:t>
      </w:r>
      <w:r>
        <w:rPr>
          <w:rFonts w:hint="eastAsia" w:eastAsia="宋体"/>
          <w:sz w:val="21"/>
          <w:szCs w:val="21"/>
          <w:lang w:eastAsia="zh-CN"/>
        </w:rPr>
        <w:t>”</w:t>
      </w:r>
      <w:r>
        <w:rPr>
          <w:lang w:eastAsia="zh-CN"/>
        </w:rPr>
        <w:t xml:space="preserve"> </w:t>
      </w:r>
      <w:r>
        <w:rPr>
          <w:rFonts w:eastAsia="宋体"/>
          <w:sz w:val="21"/>
          <w:szCs w:val="21"/>
          <w:lang w:eastAsia="zh-CN"/>
        </w:rPr>
        <w:t>为了保证酶反应在精确的温度下启动，所有反应组分（缓冲液、底物、酶液）必须在反应开始前分别或混合后预温育至反应温度（参考自《酶学方法》等通用实验规范）</w:t>
      </w:r>
    </w:p>
    <w:p w14:paraId="5DF7518E">
      <w:pPr>
        <w:spacing w:line="360" w:lineRule="auto"/>
        <w:ind w:firstLine="420"/>
        <w:rPr>
          <w:rFonts w:eastAsia="宋体"/>
          <w:sz w:val="21"/>
          <w:szCs w:val="21"/>
          <w:lang w:eastAsia="zh-CN"/>
        </w:rPr>
      </w:pPr>
      <w:r>
        <w:rPr>
          <w:rFonts w:hint="eastAsia" w:eastAsia="宋体"/>
          <w:sz w:val="21"/>
          <w:szCs w:val="21"/>
          <w:lang w:eastAsia="zh-CN"/>
        </w:rPr>
        <w:t>试验设计</w:t>
      </w:r>
      <w:r>
        <w:rPr>
          <w:rFonts w:eastAsia="宋体"/>
          <w:sz w:val="21"/>
          <w:szCs w:val="21"/>
          <w:lang w:eastAsia="zh-CN"/>
        </w:rPr>
        <w:t>：</w:t>
      </w:r>
    </w:p>
    <w:p w14:paraId="415D601C">
      <w:pPr>
        <w:spacing w:line="360" w:lineRule="auto"/>
        <w:ind w:firstLine="420"/>
        <w:rPr>
          <w:rFonts w:eastAsia="宋体"/>
          <w:sz w:val="21"/>
          <w:szCs w:val="21"/>
          <w:lang w:eastAsia="zh-CN"/>
        </w:rPr>
      </w:pPr>
      <w:r>
        <w:rPr>
          <w:rFonts w:hint="eastAsia" w:eastAsia="宋体"/>
          <w:sz w:val="21"/>
          <w:szCs w:val="21"/>
          <w:lang w:eastAsia="zh-CN"/>
        </w:rPr>
        <w:t>1.</w:t>
      </w:r>
      <w:r>
        <w:rPr>
          <w:rFonts w:eastAsia="宋体"/>
          <w:sz w:val="21"/>
          <w:szCs w:val="21"/>
          <w:lang w:eastAsia="zh-CN"/>
        </w:rPr>
        <w:t>模拟实际反应体系，在试管中加入规定体积的水、PBS缓冲液和淀粉溶液。</w:t>
      </w:r>
    </w:p>
    <w:p w14:paraId="7B3D8BDA">
      <w:pPr>
        <w:spacing w:line="360" w:lineRule="auto"/>
        <w:ind w:firstLine="420"/>
        <w:rPr>
          <w:rFonts w:eastAsia="宋体"/>
          <w:sz w:val="21"/>
          <w:szCs w:val="21"/>
          <w:lang w:eastAsia="zh-CN"/>
        </w:rPr>
      </w:pPr>
      <w:r>
        <w:rPr>
          <w:rFonts w:hint="eastAsia" w:eastAsia="宋体"/>
          <w:sz w:val="21"/>
          <w:szCs w:val="21"/>
          <w:lang w:eastAsia="zh-CN"/>
        </w:rPr>
        <w:t>2.</w:t>
      </w:r>
      <w:r>
        <w:rPr>
          <w:rFonts w:eastAsia="宋体"/>
          <w:sz w:val="21"/>
          <w:szCs w:val="21"/>
          <w:lang w:eastAsia="zh-CN"/>
        </w:rPr>
        <w:t>将试管置于37℃水浴中。</w:t>
      </w:r>
    </w:p>
    <w:p w14:paraId="5F500289">
      <w:pPr>
        <w:spacing w:line="360" w:lineRule="auto"/>
        <w:ind w:firstLine="420"/>
        <w:rPr>
          <w:rFonts w:eastAsia="宋体"/>
          <w:sz w:val="21"/>
          <w:szCs w:val="21"/>
          <w:lang w:eastAsia="zh-CN"/>
        </w:rPr>
      </w:pPr>
      <w:r>
        <w:rPr>
          <w:rFonts w:hint="eastAsia" w:eastAsia="宋体"/>
          <w:sz w:val="21"/>
          <w:szCs w:val="21"/>
          <w:lang w:eastAsia="zh-CN"/>
        </w:rPr>
        <w:t>3.</w:t>
      </w:r>
      <w:r>
        <w:rPr>
          <w:rFonts w:eastAsia="宋体"/>
          <w:sz w:val="21"/>
          <w:szCs w:val="21"/>
          <w:lang w:eastAsia="zh-CN"/>
        </w:rPr>
        <w:t>使用精密的温度计或温度探针，插入溶液中心，监测溶液温度随时间的变化。</w:t>
      </w:r>
    </w:p>
    <w:p w14:paraId="2BC92FD6">
      <w:pPr>
        <w:spacing w:line="360" w:lineRule="auto"/>
        <w:ind w:firstLine="420"/>
        <w:rPr>
          <w:rFonts w:eastAsia="宋体"/>
          <w:sz w:val="21"/>
          <w:szCs w:val="21"/>
          <w:lang w:eastAsia="zh-CN"/>
        </w:rPr>
      </w:pPr>
      <w:r>
        <w:rPr>
          <w:rFonts w:hint="eastAsia" w:eastAsia="宋体"/>
          <w:sz w:val="21"/>
          <w:szCs w:val="21"/>
          <w:lang w:eastAsia="zh-CN"/>
        </w:rPr>
        <w:t>4.</w:t>
      </w:r>
      <w:r>
        <w:rPr>
          <w:rFonts w:eastAsia="宋体"/>
          <w:sz w:val="21"/>
          <w:szCs w:val="21"/>
          <w:lang w:eastAsia="zh-CN"/>
        </w:rPr>
        <w:t>记录温度从室温（例如25℃）上升至36.5℃（或达到稳定平衡）所需的时间。</w:t>
      </w:r>
    </w:p>
    <w:p w14:paraId="4508FCC7">
      <w:pPr>
        <w:spacing w:line="360" w:lineRule="auto"/>
        <w:rPr>
          <w:rFonts w:eastAsia="宋体"/>
          <w:sz w:val="21"/>
          <w:szCs w:val="21"/>
          <w:lang w:eastAsia="zh-CN"/>
        </w:rPr>
      </w:pPr>
      <w:r>
        <w:rPr>
          <w:rFonts w:hint="eastAsia" w:eastAsia="宋体"/>
          <w:sz w:val="21"/>
          <w:szCs w:val="21"/>
          <w:lang w:eastAsia="zh-CN"/>
        </w:rPr>
        <w:t>2.7.5 活力测定体系</w:t>
      </w:r>
    </w:p>
    <w:p w14:paraId="36FE5D17">
      <w:pPr>
        <w:spacing w:line="360" w:lineRule="auto"/>
        <w:ind w:firstLine="420" w:firstLineChars="200"/>
        <w:rPr>
          <w:rFonts w:eastAsia="宋体"/>
          <w:sz w:val="21"/>
          <w:szCs w:val="21"/>
          <w:lang w:eastAsia="zh-CN"/>
        </w:rPr>
      </w:pPr>
      <w:r>
        <w:rPr>
          <w:rFonts w:eastAsia="宋体"/>
          <w:sz w:val="21"/>
          <w:szCs w:val="21"/>
          <w:lang w:eastAsia="zh-CN"/>
        </w:rPr>
        <w:t>将各样品管于 37℃水浴中准确反应 5min</w:t>
      </w:r>
      <w:r>
        <w:rPr>
          <w:rFonts w:hint="eastAsia" w:eastAsia="宋体"/>
          <w:sz w:val="21"/>
          <w:szCs w:val="21"/>
          <w:lang w:eastAsia="zh-CN"/>
        </w:rPr>
        <w:t>，在这个时间内才成线性，此时酶活力与生成的麦芽糖量成正比，计算结果才准确。</w:t>
      </w:r>
    </w:p>
    <w:p w14:paraId="7B8C2D30">
      <w:pPr>
        <w:spacing w:line="360" w:lineRule="auto"/>
        <w:ind w:firstLine="420" w:firstLineChars="200"/>
        <w:rPr>
          <w:rFonts w:eastAsia="宋体"/>
          <w:sz w:val="21"/>
          <w:szCs w:val="21"/>
          <w:lang w:eastAsia="zh-CN"/>
        </w:rPr>
      </w:pPr>
      <w:r>
        <w:rPr>
          <w:rFonts w:eastAsia="宋体"/>
          <w:sz w:val="21"/>
          <w:szCs w:val="21"/>
          <w:lang w:eastAsia="zh-CN"/>
        </w:rPr>
        <w:t>实验设计</w:t>
      </w:r>
    </w:p>
    <w:p w14:paraId="1050BA36">
      <w:pPr>
        <w:spacing w:line="360" w:lineRule="auto"/>
        <w:ind w:firstLine="420" w:firstLineChars="200"/>
        <w:rPr>
          <w:rFonts w:eastAsia="宋体"/>
          <w:sz w:val="21"/>
          <w:szCs w:val="21"/>
          <w:lang w:eastAsia="zh-CN"/>
        </w:rPr>
      </w:pPr>
      <w:r>
        <w:rPr>
          <w:rFonts w:eastAsia="宋体"/>
          <w:sz w:val="21"/>
          <w:szCs w:val="21"/>
          <w:lang w:eastAsia="zh-CN"/>
        </w:rPr>
        <w:t>选择中等活性的白芸豆提取物样品和标准α-淀粉酶。设置一个无抑制剂的体系（即相当于“酶对照管A3”），严格按照标准配制试剂。在37℃预热后启动反应，于不同的精确时间点（例如：1， 2， 3， 5， 7， 10， 15分钟）取出平行反应管，立即加入稀盐酸终止反应。用DNS法测定每个时间点生成的麦芽糖量。</w:t>
      </w:r>
    </w:p>
    <w:tbl>
      <w:tblPr>
        <w:tblStyle w:val="10"/>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38"/>
        <w:gridCol w:w="3696"/>
      </w:tblGrid>
      <w:tr w14:paraId="0E83B6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1838" w:type="dxa"/>
          </w:tcPr>
          <w:p w14:paraId="42AE56A8">
            <w:pPr>
              <w:spacing w:line="360" w:lineRule="auto"/>
              <w:jc w:val="center"/>
              <w:rPr>
                <w:rFonts w:eastAsia="宋体"/>
                <w:sz w:val="18"/>
                <w:szCs w:val="18"/>
                <w:lang w:eastAsia="zh-CN"/>
              </w:rPr>
            </w:pPr>
            <w:r>
              <w:rPr>
                <w:rFonts w:eastAsia="宋体"/>
                <w:sz w:val="18"/>
                <w:szCs w:val="18"/>
                <w:lang w:eastAsia="zh-CN"/>
              </w:rPr>
              <w:t>反应时间 (min)</w:t>
            </w:r>
          </w:p>
        </w:tc>
        <w:tc>
          <w:tcPr>
            <w:tcW w:w="3696" w:type="dxa"/>
          </w:tcPr>
          <w:p w14:paraId="5FEF6A81">
            <w:pPr>
              <w:spacing w:line="360" w:lineRule="auto"/>
              <w:jc w:val="center"/>
              <w:rPr>
                <w:rFonts w:eastAsia="宋体"/>
                <w:sz w:val="18"/>
                <w:szCs w:val="18"/>
                <w:lang w:eastAsia="zh-CN"/>
              </w:rPr>
            </w:pPr>
            <w:r>
              <w:rPr>
                <w:rFonts w:eastAsia="宋体"/>
                <w:sz w:val="18"/>
                <w:szCs w:val="18"/>
                <w:lang w:eastAsia="zh-CN"/>
              </w:rPr>
              <w:t>麦芽糖生成量 (μg)</w:t>
            </w:r>
          </w:p>
        </w:tc>
      </w:tr>
      <w:tr w14:paraId="5AAF42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41A4C961">
            <w:pPr>
              <w:spacing w:line="360" w:lineRule="auto"/>
              <w:jc w:val="center"/>
              <w:rPr>
                <w:rFonts w:eastAsia="宋体"/>
                <w:sz w:val="18"/>
                <w:szCs w:val="18"/>
                <w:lang w:eastAsia="zh-CN"/>
              </w:rPr>
            </w:pPr>
            <w:r>
              <w:rPr>
                <w:rFonts w:eastAsia="宋体"/>
                <w:sz w:val="18"/>
                <w:szCs w:val="18"/>
                <w:lang w:eastAsia="zh-CN"/>
              </w:rPr>
              <w:t>1</w:t>
            </w:r>
          </w:p>
        </w:tc>
        <w:tc>
          <w:tcPr>
            <w:tcW w:w="3696" w:type="dxa"/>
          </w:tcPr>
          <w:p w14:paraId="3C7F1656">
            <w:pPr>
              <w:spacing w:line="360" w:lineRule="auto"/>
              <w:jc w:val="center"/>
              <w:rPr>
                <w:rFonts w:eastAsia="宋体"/>
                <w:sz w:val="18"/>
                <w:szCs w:val="18"/>
                <w:lang w:eastAsia="zh-CN"/>
              </w:rPr>
            </w:pPr>
            <w:r>
              <w:rPr>
                <w:rFonts w:eastAsia="宋体"/>
                <w:sz w:val="18"/>
                <w:szCs w:val="18"/>
                <w:lang w:eastAsia="zh-CN"/>
              </w:rPr>
              <w:t>150</w:t>
            </w:r>
          </w:p>
        </w:tc>
      </w:tr>
      <w:tr w14:paraId="1336AD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279F40E3">
            <w:pPr>
              <w:spacing w:line="360" w:lineRule="auto"/>
              <w:jc w:val="center"/>
              <w:rPr>
                <w:rFonts w:eastAsia="宋体"/>
                <w:sz w:val="18"/>
                <w:szCs w:val="18"/>
                <w:lang w:eastAsia="zh-CN"/>
              </w:rPr>
            </w:pPr>
            <w:r>
              <w:rPr>
                <w:rFonts w:eastAsia="宋体"/>
                <w:sz w:val="18"/>
                <w:szCs w:val="18"/>
                <w:lang w:eastAsia="zh-CN"/>
              </w:rPr>
              <w:t>2</w:t>
            </w:r>
          </w:p>
        </w:tc>
        <w:tc>
          <w:tcPr>
            <w:tcW w:w="3696" w:type="dxa"/>
          </w:tcPr>
          <w:p w14:paraId="0EAA7883">
            <w:pPr>
              <w:spacing w:line="360" w:lineRule="auto"/>
              <w:jc w:val="center"/>
              <w:rPr>
                <w:rFonts w:eastAsia="宋体"/>
                <w:sz w:val="18"/>
                <w:szCs w:val="18"/>
                <w:lang w:eastAsia="zh-CN"/>
              </w:rPr>
            </w:pPr>
            <w:r>
              <w:rPr>
                <w:rFonts w:eastAsia="宋体"/>
                <w:sz w:val="18"/>
                <w:szCs w:val="18"/>
                <w:lang w:eastAsia="zh-CN"/>
              </w:rPr>
              <w:t>300</w:t>
            </w:r>
          </w:p>
        </w:tc>
      </w:tr>
      <w:tr w14:paraId="42C35C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65A86970">
            <w:pPr>
              <w:spacing w:line="360" w:lineRule="auto"/>
              <w:jc w:val="center"/>
              <w:rPr>
                <w:rFonts w:eastAsia="宋体"/>
                <w:sz w:val="18"/>
                <w:szCs w:val="18"/>
                <w:lang w:eastAsia="zh-CN"/>
              </w:rPr>
            </w:pPr>
            <w:r>
              <w:rPr>
                <w:rFonts w:eastAsia="宋体"/>
                <w:sz w:val="18"/>
                <w:szCs w:val="18"/>
                <w:lang w:eastAsia="zh-CN"/>
              </w:rPr>
              <w:t>3</w:t>
            </w:r>
          </w:p>
        </w:tc>
        <w:tc>
          <w:tcPr>
            <w:tcW w:w="3696" w:type="dxa"/>
          </w:tcPr>
          <w:p w14:paraId="6BD29EED">
            <w:pPr>
              <w:spacing w:line="360" w:lineRule="auto"/>
              <w:jc w:val="center"/>
              <w:rPr>
                <w:rFonts w:eastAsia="宋体"/>
                <w:sz w:val="18"/>
                <w:szCs w:val="18"/>
                <w:lang w:eastAsia="zh-CN"/>
              </w:rPr>
            </w:pPr>
            <w:r>
              <w:rPr>
                <w:rFonts w:eastAsia="宋体"/>
                <w:sz w:val="18"/>
                <w:szCs w:val="18"/>
                <w:lang w:eastAsia="zh-CN"/>
              </w:rPr>
              <w:t>445</w:t>
            </w:r>
          </w:p>
        </w:tc>
      </w:tr>
      <w:tr w14:paraId="59CE88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5631F810">
            <w:pPr>
              <w:spacing w:line="360" w:lineRule="auto"/>
              <w:jc w:val="center"/>
              <w:rPr>
                <w:rFonts w:eastAsia="宋体"/>
                <w:sz w:val="18"/>
                <w:szCs w:val="18"/>
                <w:lang w:eastAsia="zh-CN"/>
              </w:rPr>
            </w:pPr>
            <w:r>
              <w:rPr>
                <w:rFonts w:eastAsia="宋体"/>
                <w:sz w:val="18"/>
                <w:szCs w:val="18"/>
                <w:lang w:eastAsia="zh-CN"/>
              </w:rPr>
              <w:t>5</w:t>
            </w:r>
          </w:p>
        </w:tc>
        <w:tc>
          <w:tcPr>
            <w:tcW w:w="3696" w:type="dxa"/>
          </w:tcPr>
          <w:p w14:paraId="457EC9E8">
            <w:pPr>
              <w:spacing w:line="360" w:lineRule="auto"/>
              <w:jc w:val="center"/>
              <w:rPr>
                <w:rFonts w:eastAsia="宋体"/>
                <w:sz w:val="18"/>
                <w:szCs w:val="18"/>
                <w:lang w:eastAsia="zh-CN"/>
              </w:rPr>
            </w:pPr>
            <w:r>
              <w:rPr>
                <w:rFonts w:eastAsia="宋体"/>
                <w:sz w:val="18"/>
                <w:szCs w:val="18"/>
                <w:lang w:eastAsia="zh-CN"/>
              </w:rPr>
              <w:t>735</w:t>
            </w:r>
          </w:p>
        </w:tc>
      </w:tr>
      <w:tr w14:paraId="59B95D6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74002E8D">
            <w:pPr>
              <w:spacing w:line="360" w:lineRule="auto"/>
              <w:jc w:val="center"/>
              <w:rPr>
                <w:rFonts w:eastAsia="宋体"/>
                <w:sz w:val="18"/>
                <w:szCs w:val="18"/>
                <w:lang w:eastAsia="zh-CN"/>
              </w:rPr>
            </w:pPr>
            <w:r>
              <w:rPr>
                <w:rFonts w:eastAsia="宋体"/>
                <w:sz w:val="18"/>
                <w:szCs w:val="18"/>
                <w:lang w:eastAsia="zh-CN"/>
              </w:rPr>
              <w:t>7</w:t>
            </w:r>
          </w:p>
        </w:tc>
        <w:tc>
          <w:tcPr>
            <w:tcW w:w="3696" w:type="dxa"/>
          </w:tcPr>
          <w:p w14:paraId="7AD50BFC">
            <w:pPr>
              <w:spacing w:line="360" w:lineRule="auto"/>
              <w:jc w:val="center"/>
              <w:rPr>
                <w:rFonts w:eastAsia="宋体"/>
                <w:sz w:val="18"/>
                <w:szCs w:val="18"/>
                <w:lang w:eastAsia="zh-CN"/>
              </w:rPr>
            </w:pPr>
            <w:r>
              <w:rPr>
                <w:rFonts w:eastAsia="宋体"/>
                <w:sz w:val="18"/>
                <w:szCs w:val="18"/>
                <w:lang w:eastAsia="zh-CN"/>
              </w:rPr>
              <w:t>980</w:t>
            </w:r>
          </w:p>
        </w:tc>
      </w:tr>
      <w:tr w14:paraId="51B471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73D3A30D">
            <w:pPr>
              <w:spacing w:line="360" w:lineRule="auto"/>
              <w:jc w:val="center"/>
              <w:rPr>
                <w:rFonts w:eastAsia="宋体"/>
                <w:sz w:val="18"/>
                <w:szCs w:val="18"/>
                <w:lang w:eastAsia="zh-CN"/>
              </w:rPr>
            </w:pPr>
            <w:r>
              <w:rPr>
                <w:rFonts w:eastAsia="宋体"/>
                <w:sz w:val="18"/>
                <w:szCs w:val="18"/>
                <w:lang w:eastAsia="zh-CN"/>
              </w:rPr>
              <w:t>10</w:t>
            </w:r>
          </w:p>
        </w:tc>
        <w:tc>
          <w:tcPr>
            <w:tcW w:w="3696" w:type="dxa"/>
          </w:tcPr>
          <w:p w14:paraId="60169A67">
            <w:pPr>
              <w:spacing w:line="360" w:lineRule="auto"/>
              <w:jc w:val="center"/>
              <w:rPr>
                <w:rFonts w:eastAsia="宋体"/>
                <w:sz w:val="18"/>
                <w:szCs w:val="18"/>
                <w:lang w:eastAsia="zh-CN"/>
              </w:rPr>
            </w:pPr>
            <w:r>
              <w:rPr>
                <w:rFonts w:eastAsia="宋体"/>
                <w:sz w:val="18"/>
                <w:szCs w:val="18"/>
                <w:lang w:eastAsia="zh-CN"/>
              </w:rPr>
              <w:t>1250</w:t>
            </w:r>
          </w:p>
        </w:tc>
      </w:tr>
      <w:tr w14:paraId="75054E8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838" w:type="dxa"/>
          </w:tcPr>
          <w:p w14:paraId="713CF59D">
            <w:pPr>
              <w:spacing w:line="360" w:lineRule="auto"/>
              <w:jc w:val="center"/>
              <w:rPr>
                <w:rFonts w:eastAsia="宋体"/>
                <w:sz w:val="18"/>
                <w:szCs w:val="18"/>
                <w:lang w:eastAsia="zh-CN"/>
              </w:rPr>
            </w:pPr>
            <w:r>
              <w:rPr>
                <w:rFonts w:eastAsia="宋体"/>
                <w:sz w:val="18"/>
                <w:szCs w:val="18"/>
                <w:lang w:eastAsia="zh-CN"/>
              </w:rPr>
              <w:t>15</w:t>
            </w:r>
          </w:p>
        </w:tc>
        <w:tc>
          <w:tcPr>
            <w:tcW w:w="3696" w:type="dxa"/>
          </w:tcPr>
          <w:p w14:paraId="14B04E32">
            <w:pPr>
              <w:spacing w:line="360" w:lineRule="auto"/>
              <w:jc w:val="center"/>
              <w:rPr>
                <w:rFonts w:eastAsia="宋体"/>
                <w:sz w:val="18"/>
                <w:szCs w:val="18"/>
                <w:lang w:eastAsia="zh-CN"/>
              </w:rPr>
            </w:pPr>
            <w:r>
              <w:rPr>
                <w:rFonts w:eastAsia="宋体"/>
                <w:sz w:val="18"/>
                <w:szCs w:val="18"/>
                <w:lang w:eastAsia="zh-CN"/>
              </w:rPr>
              <w:t>1400</w:t>
            </w:r>
          </w:p>
        </w:tc>
      </w:tr>
    </w:tbl>
    <w:p w14:paraId="0C140754">
      <w:pPr>
        <w:spacing w:line="360" w:lineRule="auto"/>
        <w:ind w:firstLine="420" w:firstLineChars="200"/>
        <w:rPr>
          <w:rFonts w:eastAsia="宋体"/>
          <w:sz w:val="21"/>
          <w:szCs w:val="21"/>
          <w:lang w:eastAsia="zh-CN"/>
        </w:rPr>
      </w:pPr>
      <w:r>
        <w:rPr>
          <w:rFonts w:eastAsia="宋体"/>
          <w:sz w:val="21"/>
          <w:szCs w:val="21"/>
          <w:lang w:eastAsia="zh-CN"/>
        </w:rPr>
        <w:t>在 0至约7分钟内，麦芽糖生成量与反应时间呈良好的线性关系（R² &gt; 0.995）。这表明在此时间段内测量，结果能真实反映酶的初始活力。</w:t>
      </w:r>
      <w:r>
        <w:rPr>
          <w:rFonts w:hint="eastAsia" w:eastAsia="宋体"/>
          <w:sz w:val="21"/>
          <w:szCs w:val="21"/>
          <w:lang w:eastAsia="zh-CN"/>
        </w:rPr>
        <w:t>因此</w:t>
      </w:r>
      <w:r>
        <w:rPr>
          <w:rFonts w:eastAsia="宋体"/>
          <w:sz w:val="21"/>
          <w:szCs w:val="21"/>
          <w:lang w:eastAsia="zh-CN"/>
        </w:rPr>
        <w:t>从线性区间内选择一个具体的操作时间</w:t>
      </w:r>
      <w:r>
        <w:rPr>
          <w:rFonts w:hint="eastAsia" w:eastAsia="宋体"/>
          <w:sz w:val="21"/>
          <w:szCs w:val="21"/>
          <w:lang w:eastAsia="zh-CN"/>
        </w:rPr>
        <w:t>5分钟，</w:t>
      </w:r>
      <w:r>
        <w:rPr>
          <w:rFonts w:eastAsia="宋体"/>
          <w:sz w:val="21"/>
          <w:szCs w:val="21"/>
          <w:lang w:eastAsia="zh-CN"/>
        </w:rPr>
        <w:t>在5分钟时，麦芽糖生成量恰好达到总可生成麦芽糖理论值的60%</w:t>
      </w:r>
      <w:r>
        <w:rPr>
          <w:rFonts w:hint="eastAsia" w:eastAsia="宋体"/>
          <w:sz w:val="21"/>
          <w:szCs w:val="21"/>
          <w:lang w:eastAsia="zh-CN"/>
        </w:rPr>
        <w:t>～</w:t>
      </w:r>
      <w:r>
        <w:rPr>
          <w:rFonts w:eastAsia="宋体"/>
          <w:sz w:val="21"/>
          <w:szCs w:val="21"/>
          <w:lang w:eastAsia="zh-CN"/>
        </w:rPr>
        <w:t>85%，此时既能获得强信号，又确保反应远离底物耗尽的状态。</w:t>
      </w:r>
    </w:p>
    <w:p w14:paraId="3FE33F80">
      <w:pPr>
        <w:spacing w:line="360" w:lineRule="auto"/>
        <w:ind w:firstLine="420" w:firstLineChars="200"/>
        <w:rPr>
          <w:rFonts w:eastAsia="宋体"/>
          <w:sz w:val="21"/>
          <w:szCs w:val="21"/>
          <w:lang w:eastAsia="zh-CN"/>
        </w:rPr>
      </w:pPr>
      <w:r>
        <w:rPr>
          <w:rFonts w:hint="eastAsia" w:eastAsia="宋体"/>
          <w:sz w:val="21"/>
          <w:szCs w:val="21"/>
          <w:lang w:eastAsia="zh-CN"/>
        </w:rPr>
        <w:t>立即加入5mL 0.1 mol/L稀盐酸终止反应，加入强酸（盐酸）后，反应体系的pH急剧下降，导致酶瞬间、永久性地失活，反应被立即停止。</w:t>
      </w:r>
    </w:p>
    <w:p w14:paraId="1F47D9B9">
      <w:pPr>
        <w:spacing w:line="360" w:lineRule="auto"/>
        <w:rPr>
          <w:rFonts w:eastAsia="宋体"/>
          <w:sz w:val="21"/>
          <w:szCs w:val="21"/>
          <w:lang w:eastAsia="zh-CN"/>
        </w:rPr>
      </w:pPr>
      <w:r>
        <w:rPr>
          <w:rFonts w:hint="eastAsia" w:eastAsia="宋体"/>
          <w:sz w:val="21"/>
          <w:szCs w:val="21"/>
          <w:lang w:eastAsia="zh-CN"/>
        </w:rPr>
        <w:t xml:space="preserve">2.7.6 </w:t>
      </w:r>
      <w:r>
        <w:rPr>
          <w:rFonts w:eastAsia="宋体"/>
          <w:sz w:val="21"/>
          <w:szCs w:val="21"/>
          <w:lang w:eastAsia="zh-CN"/>
        </w:rPr>
        <w:t>淀粉酶抑制活力的测定</w:t>
      </w:r>
    </w:p>
    <w:p w14:paraId="6EC26209">
      <w:pPr>
        <w:spacing w:line="360" w:lineRule="auto"/>
        <w:ind w:firstLine="420" w:firstLineChars="200"/>
        <w:rPr>
          <w:rFonts w:eastAsia="宋体"/>
          <w:sz w:val="21"/>
          <w:szCs w:val="21"/>
          <w:lang w:eastAsia="zh-CN"/>
        </w:rPr>
      </w:pPr>
      <w:r>
        <w:rPr>
          <w:rFonts w:hint="eastAsia" w:eastAsia="宋体"/>
          <w:sz w:val="21"/>
          <w:szCs w:val="21"/>
          <w:lang w:eastAsia="zh-CN"/>
        </w:rPr>
        <w:t>加入DNS试剂沸水浴使还原糖与DNS在碱性条件下发生氧化还原反应，生成棕红色的3-氨基-5-硝基水杨酸。</w:t>
      </w:r>
    </w:p>
    <w:p w14:paraId="5C296E79">
      <w:pPr>
        <w:spacing w:line="360" w:lineRule="auto"/>
        <w:ind w:firstLine="420" w:firstLineChars="200"/>
        <w:rPr>
          <w:rFonts w:eastAsia="宋体"/>
          <w:sz w:val="21"/>
          <w:szCs w:val="21"/>
          <w:lang w:eastAsia="zh-CN"/>
        </w:rPr>
      </w:pPr>
      <w:r>
        <w:rPr>
          <w:rFonts w:hint="eastAsia" w:eastAsia="宋体"/>
          <w:sz w:val="21"/>
          <w:szCs w:val="21"/>
          <w:lang w:eastAsia="zh-CN"/>
        </w:rPr>
        <w:t>540nm波长下测定吸光度是DNS与还原糖反应的产物在540nm波长处具有最大吸收峰。</w:t>
      </w:r>
    </w:p>
    <w:p w14:paraId="7A9FA805">
      <w:pPr>
        <w:spacing w:line="360" w:lineRule="auto"/>
        <w:rPr>
          <w:rFonts w:eastAsia="宋体"/>
          <w:sz w:val="21"/>
          <w:szCs w:val="21"/>
          <w:lang w:eastAsia="zh-CN"/>
        </w:rPr>
      </w:pPr>
      <w:r>
        <w:rPr>
          <w:rFonts w:hint="eastAsia" w:eastAsia="宋体"/>
          <w:sz w:val="21"/>
          <w:szCs w:val="21"/>
          <w:lang w:eastAsia="zh-CN"/>
        </w:rPr>
        <w:t>2.7.7 活性和抑制率的测定</w:t>
      </w:r>
    </w:p>
    <w:p w14:paraId="5A1E55B5">
      <w:pPr>
        <w:spacing w:line="360" w:lineRule="auto"/>
        <w:ind w:firstLine="420" w:firstLineChars="200"/>
        <w:rPr>
          <w:rFonts w:eastAsia="宋体"/>
          <w:sz w:val="21"/>
          <w:szCs w:val="21"/>
          <w:lang w:eastAsia="zh-CN"/>
        </w:rPr>
      </w:pPr>
      <w:r>
        <w:rPr>
          <w:rFonts w:hint="eastAsia" w:eastAsia="宋体"/>
          <w:sz w:val="21"/>
          <w:szCs w:val="21"/>
          <w:lang w:eastAsia="zh-CN"/>
        </w:rPr>
        <w:t>通过</w:t>
      </w:r>
      <w:r>
        <w:rPr>
          <w:rFonts w:eastAsia="宋体"/>
          <w:sz w:val="21"/>
          <w:szCs w:val="21"/>
          <w:lang w:eastAsia="zh-CN"/>
        </w:rPr>
        <w:t>测定不同样品中麦芽糖的含量变化</w:t>
      </w:r>
      <w:r>
        <w:rPr>
          <w:rFonts w:hint="eastAsia" w:eastAsia="宋体"/>
          <w:sz w:val="21"/>
          <w:szCs w:val="21"/>
          <w:lang w:eastAsia="zh-CN"/>
        </w:rPr>
        <w:t>，通</w:t>
      </w:r>
      <w:r>
        <w:rPr>
          <w:rFonts w:eastAsia="宋体"/>
          <w:sz w:val="21"/>
          <w:szCs w:val="21"/>
          <w:lang w:eastAsia="zh-CN"/>
        </w:rPr>
        <w:t>过计算方法得出白芸豆提取物中α-淀粉酶抑制剂的活性</w:t>
      </w:r>
      <w:r>
        <w:rPr>
          <w:rFonts w:hint="eastAsia" w:eastAsia="宋体"/>
          <w:sz w:val="21"/>
          <w:szCs w:val="21"/>
          <w:lang w:eastAsia="zh-CN"/>
        </w:rPr>
        <w:t>和抑制率。参考</w:t>
      </w:r>
      <w:r>
        <w:rPr>
          <w:rFonts w:eastAsia="宋体"/>
          <w:sz w:val="21"/>
          <w:szCs w:val="21"/>
          <w:lang w:eastAsia="zh-CN"/>
        </w:rPr>
        <w:t>酶动力学基本原理</w:t>
      </w:r>
      <w:r>
        <w:rPr>
          <w:rFonts w:hint="eastAsia" w:eastAsia="宋体"/>
          <w:sz w:val="21"/>
          <w:szCs w:val="21"/>
          <w:lang w:eastAsia="zh-CN"/>
        </w:rPr>
        <w:t>、</w:t>
      </w:r>
      <w:r>
        <w:rPr>
          <w:rFonts w:eastAsia="宋体"/>
          <w:sz w:val="21"/>
          <w:szCs w:val="21"/>
          <w:lang w:eastAsia="zh-CN"/>
        </w:rPr>
        <w:t>DNS法测定还原糖</w:t>
      </w:r>
      <w:r>
        <w:rPr>
          <w:rFonts w:hint="eastAsia" w:eastAsia="宋体"/>
          <w:sz w:val="21"/>
          <w:szCs w:val="21"/>
          <w:lang w:eastAsia="zh-CN"/>
        </w:rPr>
        <w:t>、</w:t>
      </w:r>
      <w:r>
        <w:rPr>
          <w:rFonts w:eastAsia="宋体"/>
          <w:sz w:val="21"/>
          <w:szCs w:val="21"/>
          <w:lang w:eastAsia="zh-CN"/>
        </w:rPr>
        <w:t>《中华人民共和国药典》</w:t>
      </w:r>
      <w:r>
        <w:rPr>
          <w:rFonts w:hint="eastAsia" w:eastAsia="宋体"/>
          <w:sz w:val="21"/>
          <w:szCs w:val="21"/>
          <w:lang w:eastAsia="zh-CN"/>
        </w:rPr>
        <w:t>。</w:t>
      </w:r>
    </w:p>
    <w:p w14:paraId="5AA2BFEB">
      <w:pPr>
        <w:pStyle w:val="20"/>
        <w:numPr>
          <w:ilvl w:val="1"/>
          <w:numId w:val="2"/>
        </w:numPr>
        <w:spacing w:line="360" w:lineRule="auto"/>
        <w:ind w:firstLineChars="0"/>
        <w:rPr>
          <w:rFonts w:eastAsia="宋体"/>
          <w:sz w:val="21"/>
          <w:szCs w:val="21"/>
          <w:lang w:eastAsia="zh-CN"/>
        </w:rPr>
      </w:pPr>
      <w:r>
        <w:rPr>
          <w:rFonts w:hint="eastAsia" w:eastAsia="宋体"/>
          <w:sz w:val="21"/>
          <w:szCs w:val="21"/>
          <w:lang w:eastAsia="zh-CN"/>
        </w:rPr>
        <w:t>精密度</w:t>
      </w:r>
    </w:p>
    <w:p w14:paraId="1E383993">
      <w:pPr>
        <w:spacing w:line="360" w:lineRule="auto"/>
        <w:ind w:firstLine="420" w:firstLineChars="200"/>
        <w:rPr>
          <w:rFonts w:eastAsia="宋体"/>
          <w:sz w:val="21"/>
          <w:szCs w:val="21"/>
          <w:lang w:eastAsia="zh-CN"/>
        </w:rPr>
      </w:pPr>
      <w:r>
        <w:rPr>
          <w:rFonts w:hint="eastAsia" w:eastAsia="宋体"/>
          <w:sz w:val="21"/>
          <w:szCs w:val="21"/>
          <w:lang w:eastAsia="zh-CN"/>
        </w:rPr>
        <w:t>在重复性条件下获得的两次独立测定结果的绝对差值不得超过算术平均值的10%。这一要求，是分析化学中关于方法精密度的一个非常常见且重要的判定标准。</w:t>
      </w:r>
    </w:p>
    <w:p w14:paraId="6AA24334">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三、标准中如果涉及专利，应有明确的知识产权说明</w:t>
      </w:r>
    </w:p>
    <w:p w14:paraId="345BB70C">
      <w:pPr>
        <w:tabs>
          <w:tab w:val="left" w:pos="1815"/>
        </w:tabs>
        <w:spacing w:before="120" w:beforeLines="50" w:after="120" w:afterLines="50"/>
        <w:rPr>
          <w:rFonts w:eastAsia="宋体"/>
          <w:sz w:val="21"/>
          <w:szCs w:val="21"/>
          <w:lang w:eastAsia="zh-CN"/>
        </w:rPr>
      </w:pPr>
      <w:r>
        <w:rPr>
          <w:rFonts w:hint="eastAsia" w:eastAsia="宋体"/>
          <w:sz w:val="21"/>
          <w:szCs w:val="21"/>
          <w:lang w:eastAsia="zh-CN"/>
        </w:rPr>
        <w:t xml:space="preserve"> </w:t>
      </w:r>
      <w:r>
        <w:rPr>
          <w:rFonts w:eastAsia="宋体"/>
          <w:sz w:val="21"/>
          <w:szCs w:val="21"/>
          <w:lang w:eastAsia="zh-CN"/>
        </w:rPr>
        <w:t xml:space="preserve">   </w:t>
      </w:r>
      <w:r>
        <w:rPr>
          <w:rFonts w:hint="eastAsia" w:eastAsia="宋体"/>
          <w:sz w:val="21"/>
          <w:szCs w:val="21"/>
          <w:lang w:eastAsia="zh-CN"/>
        </w:rPr>
        <w:t>本文件不涉及专利及知识产权问题。</w:t>
      </w:r>
    </w:p>
    <w:p w14:paraId="3BAEBD53">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四、采用国际标准和国外先进标准情况，与国际、国内同类标准水平的对比情况</w:t>
      </w:r>
    </w:p>
    <w:p w14:paraId="7689656B">
      <w:pPr>
        <w:spacing w:line="360" w:lineRule="auto"/>
        <w:ind w:firstLine="420" w:firstLineChars="200"/>
        <w:rPr>
          <w:rFonts w:eastAsia="宋体"/>
          <w:sz w:val="21"/>
          <w:szCs w:val="21"/>
          <w:lang w:eastAsia="zh-CN"/>
        </w:rPr>
      </w:pPr>
      <w:r>
        <w:rPr>
          <w:rFonts w:hint="eastAsia" w:eastAsia="宋体"/>
          <w:sz w:val="21"/>
          <w:szCs w:val="21"/>
          <w:lang w:eastAsia="zh-CN"/>
        </w:rPr>
        <w:t>本文件为首次自主制定，不涉及国际国外标准采标情况。</w:t>
      </w:r>
    </w:p>
    <w:p w14:paraId="47566290">
      <w:pPr>
        <w:spacing w:line="360" w:lineRule="auto"/>
        <w:ind w:firstLine="420" w:firstLineChars="200"/>
        <w:rPr>
          <w:rFonts w:eastAsia="宋体"/>
          <w:sz w:val="21"/>
          <w:szCs w:val="21"/>
          <w:lang w:eastAsia="zh-CN"/>
        </w:rPr>
      </w:pPr>
      <w:r>
        <w:rPr>
          <w:rFonts w:hint="eastAsia" w:eastAsia="宋体"/>
          <w:sz w:val="21"/>
          <w:szCs w:val="21"/>
          <w:lang w:eastAsia="zh-CN"/>
        </w:rPr>
        <w:t>T/CCCMHPIE 1.26—2018《植物提取物 白芸豆提取物》适用于白芸豆的种子经粉碎、水提取、分离、干燥等工序得到的提取物。该标准为产品标准，抑制剂活力不小于1.0×103U/g。该标准规定了白芸豆提取物的技术要求、检验方法、检验规则、包装、运输和贮存要求。附录A中提到了α-淀粉酶抑制剂活力测试方法。T/CNLIC 0164—2024《白芸豆提取物》适用于以白芸豆为原料，经过研磨或粉碎、酶解或不酶解、水提、杀菌、干燥、包装等主要工艺加工制成的对α-淀粉酶具有一定抑制活力的产品。该标准为产品标准，Ⅰ级抑制剂活力不小于3.0×104U/g。Ⅱ级抑制剂活力不小于1.0×103U/g。该标准主要规定了白芸豆提取物的基本要求、检验方法、检验规则、标志、标签、包装、运输和贮存等。附录A中提到了α-淀粉酶抑制剂活力测试方法。</w:t>
      </w:r>
    </w:p>
    <w:p w14:paraId="25828D38">
      <w:pPr>
        <w:spacing w:line="360" w:lineRule="auto"/>
        <w:ind w:firstLine="420" w:firstLineChars="200"/>
        <w:rPr>
          <w:rFonts w:eastAsia="宋体"/>
          <w:sz w:val="21"/>
          <w:szCs w:val="21"/>
          <w:lang w:eastAsia="zh-CN"/>
        </w:rPr>
      </w:pPr>
      <w:r>
        <w:rPr>
          <w:rFonts w:hint="eastAsia" w:eastAsia="宋体"/>
          <w:sz w:val="21"/>
          <w:szCs w:val="21"/>
          <w:lang w:eastAsia="zh-CN"/>
        </w:rPr>
        <w:t>本标准为试验方法标准，主要是针对α-淀粉酶抑制蛋白活性的检测，更加具体细化。</w:t>
      </w:r>
      <w:r>
        <w:rPr>
          <w:rFonts w:eastAsia="宋体"/>
          <w:sz w:val="21"/>
          <w:szCs w:val="21"/>
          <w:lang w:eastAsia="zh-CN"/>
        </w:rPr>
        <w:t>本标准创新性地引入了 “五管法” 测定体系（A1空白管，A2对照空白管，A3酶对照管，A4抑制管，A5抑制对照管），特别是设置了 A5抑制对照管。A5管能准确扣除白芸豆提取物自身含有的还原糖或淀粉对吸光度的贡献，解决了样品测定值虚高的普遍难题。</w:t>
      </w:r>
    </w:p>
    <w:p w14:paraId="7B70B7C1">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五、与有关的现行法律、法规和强制性国家标准的关系</w:t>
      </w:r>
    </w:p>
    <w:p w14:paraId="1CCE33B7">
      <w:pPr>
        <w:tabs>
          <w:tab w:val="left" w:pos="1815"/>
        </w:tabs>
        <w:spacing w:before="120" w:beforeLines="50" w:after="120" w:afterLines="50"/>
        <w:ind w:firstLine="420" w:firstLineChars="200"/>
        <w:rPr>
          <w:rFonts w:ascii="仿宋" w:hAnsi="仿宋" w:eastAsia="仿宋"/>
          <w:sz w:val="21"/>
          <w:szCs w:val="21"/>
          <w:lang w:eastAsia="zh-CN"/>
        </w:rPr>
      </w:pPr>
      <w:r>
        <w:rPr>
          <w:rFonts w:eastAsia="宋体"/>
          <w:sz w:val="21"/>
          <w:szCs w:val="21"/>
          <w:lang w:eastAsia="zh-CN"/>
        </w:rPr>
        <w:t>本文件与相关法律、法规、规章及相关标准协调一致，没有冲突。</w:t>
      </w:r>
    </w:p>
    <w:p w14:paraId="39ECDC0F">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六、重大分歧意见的处理经过和依据</w:t>
      </w:r>
    </w:p>
    <w:p w14:paraId="630A6808">
      <w:pPr>
        <w:tabs>
          <w:tab w:val="left" w:pos="1815"/>
        </w:tabs>
        <w:spacing w:before="120" w:beforeLines="50" w:after="120" w:afterLines="50"/>
        <w:rPr>
          <w:rFonts w:eastAsia="宋体"/>
          <w:sz w:val="21"/>
          <w:szCs w:val="21"/>
          <w:lang w:eastAsia="zh-CN"/>
        </w:rPr>
      </w:pPr>
      <w:r>
        <w:rPr>
          <w:rFonts w:hint="eastAsia" w:eastAsia="宋体"/>
          <w:sz w:val="21"/>
          <w:szCs w:val="21"/>
          <w:lang w:eastAsia="zh-CN"/>
        </w:rPr>
        <w:t xml:space="preserve">    本文件在制定过程中未出现重大分歧意见。</w:t>
      </w:r>
    </w:p>
    <w:p w14:paraId="5AA6A445">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七、贯彻标准的要求和措施建议</w:t>
      </w:r>
    </w:p>
    <w:p w14:paraId="60E676B9">
      <w:pPr>
        <w:tabs>
          <w:tab w:val="left" w:pos="1815"/>
        </w:tabs>
        <w:spacing w:before="120" w:beforeLines="50" w:after="120" w:afterLines="50"/>
        <w:ind w:firstLine="420" w:firstLineChars="200"/>
        <w:rPr>
          <w:rFonts w:eastAsia="宋体"/>
          <w:sz w:val="21"/>
          <w:szCs w:val="21"/>
          <w:lang w:eastAsia="zh-CN"/>
        </w:rPr>
      </w:pPr>
      <w:r>
        <w:rPr>
          <w:rFonts w:hint="eastAsia" w:eastAsia="宋体"/>
          <w:sz w:val="21"/>
          <w:szCs w:val="21"/>
          <w:lang w:eastAsia="zh-CN"/>
        </w:rPr>
        <w:t>本文件发布后，应</w:t>
      </w:r>
      <w:r>
        <w:rPr>
          <w:rFonts w:eastAsia="宋体"/>
          <w:sz w:val="21"/>
          <w:szCs w:val="21"/>
          <w:lang w:eastAsia="zh-CN"/>
        </w:rPr>
        <w:t>向相关企业进行宣传、贯彻，推荐执行该</w:t>
      </w:r>
      <w:r>
        <w:rPr>
          <w:rFonts w:hint="eastAsia" w:eastAsia="宋体"/>
          <w:sz w:val="21"/>
          <w:szCs w:val="21"/>
          <w:lang w:eastAsia="zh-CN"/>
        </w:rPr>
        <w:t>文件。</w:t>
      </w:r>
    </w:p>
    <w:p w14:paraId="4F579A5E">
      <w:pPr>
        <w:tabs>
          <w:tab w:val="left" w:pos="1815"/>
        </w:tabs>
        <w:spacing w:before="120" w:beforeLines="50" w:after="120" w:afterLines="50"/>
        <w:rPr>
          <w:rFonts w:ascii="黑体" w:hAnsi="黑体" w:eastAsia="黑体"/>
          <w:sz w:val="21"/>
          <w:szCs w:val="21"/>
          <w:lang w:eastAsia="zh-CN"/>
        </w:rPr>
      </w:pPr>
      <w:r>
        <w:rPr>
          <w:rFonts w:hint="eastAsia" w:ascii="黑体" w:hAnsi="黑体" w:eastAsia="黑体"/>
          <w:sz w:val="21"/>
          <w:szCs w:val="21"/>
          <w:lang w:eastAsia="zh-CN"/>
        </w:rPr>
        <w:t>八、其他应予说明的事项</w:t>
      </w:r>
    </w:p>
    <w:p w14:paraId="2F0E3E67">
      <w:pPr>
        <w:tabs>
          <w:tab w:val="left" w:pos="1815"/>
        </w:tabs>
        <w:spacing w:before="120" w:beforeLines="50" w:after="120" w:afterLines="50"/>
        <w:ind w:firstLine="420" w:firstLineChars="200"/>
        <w:rPr>
          <w:rFonts w:eastAsiaTheme="minorEastAsia"/>
          <w:lang w:eastAsia="zh-CN"/>
        </w:rPr>
      </w:pPr>
      <w:r>
        <w:rPr>
          <w:rFonts w:hint="eastAsia" w:eastAsia="宋体"/>
          <w:sz w:val="21"/>
          <w:szCs w:val="21"/>
          <w:lang w:eastAsia="zh-CN"/>
        </w:rPr>
        <w:t>无。</w:t>
      </w: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D2C41"/>
    <w:multiLevelType w:val="multilevel"/>
    <w:tmpl w:val="08DD2C41"/>
    <w:lvl w:ilvl="0" w:tentative="0">
      <w:start w:val="2"/>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1">
    <w:nsid w:val="193E169A"/>
    <w:multiLevelType w:val="multilevel"/>
    <w:tmpl w:val="193E169A"/>
    <w:lvl w:ilvl="0" w:tentative="0">
      <w:start w:val="2"/>
      <w:numFmt w:val="decimal"/>
      <w:lvlText w:val="%1"/>
      <w:lvlJc w:val="left"/>
      <w:pPr>
        <w:ind w:left="360" w:hanging="360"/>
      </w:pPr>
      <w:rPr>
        <w:rFonts w:hint="default"/>
      </w:rPr>
    </w:lvl>
    <w:lvl w:ilvl="1" w:tentative="0">
      <w:start w:val="6"/>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06D"/>
    <w:rsid w:val="00000951"/>
    <w:rsid w:val="000069C3"/>
    <w:rsid w:val="000231EA"/>
    <w:rsid w:val="00027F3A"/>
    <w:rsid w:val="00030BE9"/>
    <w:rsid w:val="0004378F"/>
    <w:rsid w:val="00046588"/>
    <w:rsid w:val="00046EAE"/>
    <w:rsid w:val="0005005D"/>
    <w:rsid w:val="00051C3A"/>
    <w:rsid w:val="00053643"/>
    <w:rsid w:val="00055A34"/>
    <w:rsid w:val="0006010C"/>
    <w:rsid w:val="00067C19"/>
    <w:rsid w:val="00081D08"/>
    <w:rsid w:val="0008340D"/>
    <w:rsid w:val="00086373"/>
    <w:rsid w:val="00090BDA"/>
    <w:rsid w:val="00095615"/>
    <w:rsid w:val="00095D42"/>
    <w:rsid w:val="00096A97"/>
    <w:rsid w:val="000A5FDD"/>
    <w:rsid w:val="000B1EDC"/>
    <w:rsid w:val="000B21BC"/>
    <w:rsid w:val="000B2AA4"/>
    <w:rsid w:val="000B3E60"/>
    <w:rsid w:val="000C0BEB"/>
    <w:rsid w:val="000D5C13"/>
    <w:rsid w:val="000E404A"/>
    <w:rsid w:val="000E57B2"/>
    <w:rsid w:val="000F1D77"/>
    <w:rsid w:val="00123442"/>
    <w:rsid w:val="00125120"/>
    <w:rsid w:val="00126180"/>
    <w:rsid w:val="001306F6"/>
    <w:rsid w:val="00133D8D"/>
    <w:rsid w:val="00135AE1"/>
    <w:rsid w:val="00137070"/>
    <w:rsid w:val="0013794E"/>
    <w:rsid w:val="00145612"/>
    <w:rsid w:val="001720C4"/>
    <w:rsid w:val="001810A3"/>
    <w:rsid w:val="00182292"/>
    <w:rsid w:val="001845B0"/>
    <w:rsid w:val="001875C9"/>
    <w:rsid w:val="00194385"/>
    <w:rsid w:val="001A05A1"/>
    <w:rsid w:val="001A2465"/>
    <w:rsid w:val="001A2B98"/>
    <w:rsid w:val="001C037E"/>
    <w:rsid w:val="001C2A75"/>
    <w:rsid w:val="001D3402"/>
    <w:rsid w:val="001E2FEC"/>
    <w:rsid w:val="001E3D6C"/>
    <w:rsid w:val="001E69C2"/>
    <w:rsid w:val="001F0DEB"/>
    <w:rsid w:val="001F3BC7"/>
    <w:rsid w:val="00223509"/>
    <w:rsid w:val="0022495B"/>
    <w:rsid w:val="00224F2C"/>
    <w:rsid w:val="0022532E"/>
    <w:rsid w:val="00226A57"/>
    <w:rsid w:val="00231184"/>
    <w:rsid w:val="00232A13"/>
    <w:rsid w:val="00233319"/>
    <w:rsid w:val="0024217D"/>
    <w:rsid w:val="00242DC5"/>
    <w:rsid w:val="00242E27"/>
    <w:rsid w:val="00250BC8"/>
    <w:rsid w:val="002657F0"/>
    <w:rsid w:val="00270173"/>
    <w:rsid w:val="00272E98"/>
    <w:rsid w:val="002774A1"/>
    <w:rsid w:val="00282E20"/>
    <w:rsid w:val="002857B2"/>
    <w:rsid w:val="00290A7C"/>
    <w:rsid w:val="00291800"/>
    <w:rsid w:val="0029256C"/>
    <w:rsid w:val="0029552E"/>
    <w:rsid w:val="00297802"/>
    <w:rsid w:val="002A00F1"/>
    <w:rsid w:val="002A4B90"/>
    <w:rsid w:val="002B2B38"/>
    <w:rsid w:val="002C0D5E"/>
    <w:rsid w:val="002C4F36"/>
    <w:rsid w:val="002C7C26"/>
    <w:rsid w:val="002D2036"/>
    <w:rsid w:val="002D6E67"/>
    <w:rsid w:val="002E6796"/>
    <w:rsid w:val="002E6943"/>
    <w:rsid w:val="002E7E79"/>
    <w:rsid w:val="002F2658"/>
    <w:rsid w:val="002F4B63"/>
    <w:rsid w:val="00303E8F"/>
    <w:rsid w:val="00305D23"/>
    <w:rsid w:val="00306AE4"/>
    <w:rsid w:val="00314FDD"/>
    <w:rsid w:val="003211E1"/>
    <w:rsid w:val="00325255"/>
    <w:rsid w:val="003256E0"/>
    <w:rsid w:val="003301F7"/>
    <w:rsid w:val="00331F20"/>
    <w:rsid w:val="0033462B"/>
    <w:rsid w:val="00337133"/>
    <w:rsid w:val="00341327"/>
    <w:rsid w:val="00342AFB"/>
    <w:rsid w:val="003545F2"/>
    <w:rsid w:val="00362502"/>
    <w:rsid w:val="00367D5C"/>
    <w:rsid w:val="003700C4"/>
    <w:rsid w:val="0037271E"/>
    <w:rsid w:val="003736F0"/>
    <w:rsid w:val="00373868"/>
    <w:rsid w:val="00377912"/>
    <w:rsid w:val="00377F01"/>
    <w:rsid w:val="003806CF"/>
    <w:rsid w:val="0039484E"/>
    <w:rsid w:val="0039606D"/>
    <w:rsid w:val="003A642C"/>
    <w:rsid w:val="003B321B"/>
    <w:rsid w:val="003B3DF6"/>
    <w:rsid w:val="003C13D1"/>
    <w:rsid w:val="003C1DC2"/>
    <w:rsid w:val="003D109A"/>
    <w:rsid w:val="003F5951"/>
    <w:rsid w:val="0040079D"/>
    <w:rsid w:val="004060AC"/>
    <w:rsid w:val="00410B3F"/>
    <w:rsid w:val="00412392"/>
    <w:rsid w:val="0041667D"/>
    <w:rsid w:val="0042691C"/>
    <w:rsid w:val="0043077B"/>
    <w:rsid w:val="00431C66"/>
    <w:rsid w:val="0044166D"/>
    <w:rsid w:val="0044196F"/>
    <w:rsid w:val="0045372B"/>
    <w:rsid w:val="00456143"/>
    <w:rsid w:val="00463FBA"/>
    <w:rsid w:val="00467205"/>
    <w:rsid w:val="00473F8E"/>
    <w:rsid w:val="004747E6"/>
    <w:rsid w:val="00482D5A"/>
    <w:rsid w:val="004A5EA8"/>
    <w:rsid w:val="004B22D6"/>
    <w:rsid w:val="004E3FAC"/>
    <w:rsid w:val="004E40FE"/>
    <w:rsid w:val="004F156F"/>
    <w:rsid w:val="004F2EB2"/>
    <w:rsid w:val="00504981"/>
    <w:rsid w:val="00507478"/>
    <w:rsid w:val="00512D58"/>
    <w:rsid w:val="00520BB2"/>
    <w:rsid w:val="0052579B"/>
    <w:rsid w:val="0052620C"/>
    <w:rsid w:val="005317D3"/>
    <w:rsid w:val="00531BEE"/>
    <w:rsid w:val="00533926"/>
    <w:rsid w:val="00533A9F"/>
    <w:rsid w:val="00537C41"/>
    <w:rsid w:val="005402CF"/>
    <w:rsid w:val="00540BD1"/>
    <w:rsid w:val="005509F6"/>
    <w:rsid w:val="00551BED"/>
    <w:rsid w:val="005538F2"/>
    <w:rsid w:val="005547CA"/>
    <w:rsid w:val="005550F7"/>
    <w:rsid w:val="00561C29"/>
    <w:rsid w:val="00562DCC"/>
    <w:rsid w:val="005728EC"/>
    <w:rsid w:val="005766CD"/>
    <w:rsid w:val="00592133"/>
    <w:rsid w:val="005922F1"/>
    <w:rsid w:val="00596BE1"/>
    <w:rsid w:val="0059798D"/>
    <w:rsid w:val="005B0B24"/>
    <w:rsid w:val="005B245D"/>
    <w:rsid w:val="005B4FC9"/>
    <w:rsid w:val="005B690A"/>
    <w:rsid w:val="005C382B"/>
    <w:rsid w:val="005C3CE4"/>
    <w:rsid w:val="005C575B"/>
    <w:rsid w:val="005C718D"/>
    <w:rsid w:val="005D2B3A"/>
    <w:rsid w:val="005D5274"/>
    <w:rsid w:val="005D62B8"/>
    <w:rsid w:val="005E2AF9"/>
    <w:rsid w:val="005E503A"/>
    <w:rsid w:val="005E70DC"/>
    <w:rsid w:val="005F3AEE"/>
    <w:rsid w:val="0060033E"/>
    <w:rsid w:val="00601A25"/>
    <w:rsid w:val="00603F96"/>
    <w:rsid w:val="0061398F"/>
    <w:rsid w:val="00622B54"/>
    <w:rsid w:val="006267BC"/>
    <w:rsid w:val="0064023B"/>
    <w:rsid w:val="0064185E"/>
    <w:rsid w:val="00644949"/>
    <w:rsid w:val="00645275"/>
    <w:rsid w:val="00651A6E"/>
    <w:rsid w:val="006559D0"/>
    <w:rsid w:val="00664E3C"/>
    <w:rsid w:val="00670818"/>
    <w:rsid w:val="0069222D"/>
    <w:rsid w:val="006976B4"/>
    <w:rsid w:val="006A2DCA"/>
    <w:rsid w:val="006A7A29"/>
    <w:rsid w:val="006B46A4"/>
    <w:rsid w:val="006B4DBB"/>
    <w:rsid w:val="006C4F09"/>
    <w:rsid w:val="006D21D1"/>
    <w:rsid w:val="006D3D43"/>
    <w:rsid w:val="006D3EDB"/>
    <w:rsid w:val="006D435F"/>
    <w:rsid w:val="006D4FE7"/>
    <w:rsid w:val="006E091E"/>
    <w:rsid w:val="006E1747"/>
    <w:rsid w:val="006E2F68"/>
    <w:rsid w:val="006F32F7"/>
    <w:rsid w:val="006F4F48"/>
    <w:rsid w:val="006F6CFB"/>
    <w:rsid w:val="00701DA9"/>
    <w:rsid w:val="0070575F"/>
    <w:rsid w:val="007266E4"/>
    <w:rsid w:val="00731BB7"/>
    <w:rsid w:val="0074766F"/>
    <w:rsid w:val="007503A6"/>
    <w:rsid w:val="0075159F"/>
    <w:rsid w:val="0075373D"/>
    <w:rsid w:val="00753BFC"/>
    <w:rsid w:val="00756AB0"/>
    <w:rsid w:val="00760269"/>
    <w:rsid w:val="0076145C"/>
    <w:rsid w:val="007620F8"/>
    <w:rsid w:val="007625E2"/>
    <w:rsid w:val="0077179A"/>
    <w:rsid w:val="007718A7"/>
    <w:rsid w:val="007720E9"/>
    <w:rsid w:val="00777512"/>
    <w:rsid w:val="007777D2"/>
    <w:rsid w:val="00777A48"/>
    <w:rsid w:val="007B2EB6"/>
    <w:rsid w:val="007C121E"/>
    <w:rsid w:val="007C4840"/>
    <w:rsid w:val="007C758B"/>
    <w:rsid w:val="007D3B5D"/>
    <w:rsid w:val="007D5C71"/>
    <w:rsid w:val="007E119B"/>
    <w:rsid w:val="007E6314"/>
    <w:rsid w:val="007F0A93"/>
    <w:rsid w:val="007F1EB4"/>
    <w:rsid w:val="007F4FC9"/>
    <w:rsid w:val="00800FE9"/>
    <w:rsid w:val="0080164D"/>
    <w:rsid w:val="0080281C"/>
    <w:rsid w:val="00807031"/>
    <w:rsid w:val="008168D8"/>
    <w:rsid w:val="008174FE"/>
    <w:rsid w:val="0083013F"/>
    <w:rsid w:val="00832939"/>
    <w:rsid w:val="00832F63"/>
    <w:rsid w:val="00834619"/>
    <w:rsid w:val="0083568A"/>
    <w:rsid w:val="00841408"/>
    <w:rsid w:val="00842BE4"/>
    <w:rsid w:val="0084502C"/>
    <w:rsid w:val="00846D83"/>
    <w:rsid w:val="008577C9"/>
    <w:rsid w:val="008806D1"/>
    <w:rsid w:val="008816BA"/>
    <w:rsid w:val="008824EA"/>
    <w:rsid w:val="008A4751"/>
    <w:rsid w:val="008B5411"/>
    <w:rsid w:val="008B6BAE"/>
    <w:rsid w:val="008B720E"/>
    <w:rsid w:val="008C1EE2"/>
    <w:rsid w:val="008C3C51"/>
    <w:rsid w:val="008C42B2"/>
    <w:rsid w:val="008C7BEB"/>
    <w:rsid w:val="008D1AFE"/>
    <w:rsid w:val="008D3293"/>
    <w:rsid w:val="008D4D61"/>
    <w:rsid w:val="008E1E3E"/>
    <w:rsid w:val="008F1665"/>
    <w:rsid w:val="008F18D5"/>
    <w:rsid w:val="008F1F1B"/>
    <w:rsid w:val="008F598F"/>
    <w:rsid w:val="009002E2"/>
    <w:rsid w:val="00900E36"/>
    <w:rsid w:val="00915954"/>
    <w:rsid w:val="00923413"/>
    <w:rsid w:val="00935651"/>
    <w:rsid w:val="00936D20"/>
    <w:rsid w:val="009419D5"/>
    <w:rsid w:val="009526AD"/>
    <w:rsid w:val="00957023"/>
    <w:rsid w:val="009738CC"/>
    <w:rsid w:val="0098596D"/>
    <w:rsid w:val="00991FCB"/>
    <w:rsid w:val="009920EA"/>
    <w:rsid w:val="00992C9E"/>
    <w:rsid w:val="00995CB7"/>
    <w:rsid w:val="009A1745"/>
    <w:rsid w:val="009C06FF"/>
    <w:rsid w:val="009C39A0"/>
    <w:rsid w:val="009D51F4"/>
    <w:rsid w:val="009F00FE"/>
    <w:rsid w:val="009F2EAB"/>
    <w:rsid w:val="009F65A7"/>
    <w:rsid w:val="00A13D57"/>
    <w:rsid w:val="00A409F2"/>
    <w:rsid w:val="00A56FB9"/>
    <w:rsid w:val="00A619E7"/>
    <w:rsid w:val="00A64802"/>
    <w:rsid w:val="00A65E57"/>
    <w:rsid w:val="00A6709B"/>
    <w:rsid w:val="00A7206F"/>
    <w:rsid w:val="00A75174"/>
    <w:rsid w:val="00A82AC0"/>
    <w:rsid w:val="00A84441"/>
    <w:rsid w:val="00A93D70"/>
    <w:rsid w:val="00A972CA"/>
    <w:rsid w:val="00AA5F23"/>
    <w:rsid w:val="00AA65F1"/>
    <w:rsid w:val="00AA6CCF"/>
    <w:rsid w:val="00AB050F"/>
    <w:rsid w:val="00AB2B40"/>
    <w:rsid w:val="00AB65D5"/>
    <w:rsid w:val="00AC1AF1"/>
    <w:rsid w:val="00AD3CF9"/>
    <w:rsid w:val="00AE3760"/>
    <w:rsid w:val="00AE63C3"/>
    <w:rsid w:val="00B012EE"/>
    <w:rsid w:val="00B01B82"/>
    <w:rsid w:val="00B02E2A"/>
    <w:rsid w:val="00B02E5F"/>
    <w:rsid w:val="00B04640"/>
    <w:rsid w:val="00B04E13"/>
    <w:rsid w:val="00B06A86"/>
    <w:rsid w:val="00B0764F"/>
    <w:rsid w:val="00B13995"/>
    <w:rsid w:val="00B17D97"/>
    <w:rsid w:val="00B3772A"/>
    <w:rsid w:val="00B40098"/>
    <w:rsid w:val="00B44760"/>
    <w:rsid w:val="00B451FD"/>
    <w:rsid w:val="00B50C21"/>
    <w:rsid w:val="00B52ECF"/>
    <w:rsid w:val="00B54280"/>
    <w:rsid w:val="00B63519"/>
    <w:rsid w:val="00B637AC"/>
    <w:rsid w:val="00B76CCF"/>
    <w:rsid w:val="00B81F20"/>
    <w:rsid w:val="00BA079B"/>
    <w:rsid w:val="00BA1624"/>
    <w:rsid w:val="00BA1F40"/>
    <w:rsid w:val="00BA3314"/>
    <w:rsid w:val="00BA6C63"/>
    <w:rsid w:val="00BB299C"/>
    <w:rsid w:val="00BB5B3B"/>
    <w:rsid w:val="00BB6560"/>
    <w:rsid w:val="00BC1E3A"/>
    <w:rsid w:val="00BC7E44"/>
    <w:rsid w:val="00BD2D2D"/>
    <w:rsid w:val="00BD67E5"/>
    <w:rsid w:val="00BE191D"/>
    <w:rsid w:val="00BF0185"/>
    <w:rsid w:val="00BF2951"/>
    <w:rsid w:val="00BF4A43"/>
    <w:rsid w:val="00BF5D14"/>
    <w:rsid w:val="00C0417B"/>
    <w:rsid w:val="00C0489C"/>
    <w:rsid w:val="00C04D57"/>
    <w:rsid w:val="00C077C3"/>
    <w:rsid w:val="00C2674E"/>
    <w:rsid w:val="00C27D2F"/>
    <w:rsid w:val="00C31D5B"/>
    <w:rsid w:val="00C33A9C"/>
    <w:rsid w:val="00C36679"/>
    <w:rsid w:val="00C403C0"/>
    <w:rsid w:val="00C4146F"/>
    <w:rsid w:val="00C423D6"/>
    <w:rsid w:val="00C46E2A"/>
    <w:rsid w:val="00C63F6D"/>
    <w:rsid w:val="00C6407C"/>
    <w:rsid w:val="00C6484B"/>
    <w:rsid w:val="00C65FCB"/>
    <w:rsid w:val="00C73456"/>
    <w:rsid w:val="00C75C65"/>
    <w:rsid w:val="00C82098"/>
    <w:rsid w:val="00C83A5B"/>
    <w:rsid w:val="00C861B9"/>
    <w:rsid w:val="00C9077B"/>
    <w:rsid w:val="00C972E3"/>
    <w:rsid w:val="00CA25F9"/>
    <w:rsid w:val="00CA47D9"/>
    <w:rsid w:val="00CA6856"/>
    <w:rsid w:val="00CB17EA"/>
    <w:rsid w:val="00CB1CC5"/>
    <w:rsid w:val="00CB2445"/>
    <w:rsid w:val="00CB5002"/>
    <w:rsid w:val="00CB5D5B"/>
    <w:rsid w:val="00CB69C3"/>
    <w:rsid w:val="00CC1919"/>
    <w:rsid w:val="00CC7D80"/>
    <w:rsid w:val="00CE18DD"/>
    <w:rsid w:val="00CE3C1A"/>
    <w:rsid w:val="00CF0403"/>
    <w:rsid w:val="00CF529E"/>
    <w:rsid w:val="00D0530F"/>
    <w:rsid w:val="00D14DC9"/>
    <w:rsid w:val="00D204D4"/>
    <w:rsid w:val="00D22B7B"/>
    <w:rsid w:val="00D23C07"/>
    <w:rsid w:val="00D35094"/>
    <w:rsid w:val="00D43F6B"/>
    <w:rsid w:val="00D5647A"/>
    <w:rsid w:val="00D57EF3"/>
    <w:rsid w:val="00D644AD"/>
    <w:rsid w:val="00D656F9"/>
    <w:rsid w:val="00D701A1"/>
    <w:rsid w:val="00D70E47"/>
    <w:rsid w:val="00D77ABC"/>
    <w:rsid w:val="00D80697"/>
    <w:rsid w:val="00D81007"/>
    <w:rsid w:val="00D85103"/>
    <w:rsid w:val="00D87487"/>
    <w:rsid w:val="00D913CA"/>
    <w:rsid w:val="00D93B8F"/>
    <w:rsid w:val="00D94065"/>
    <w:rsid w:val="00DB0D69"/>
    <w:rsid w:val="00DB162B"/>
    <w:rsid w:val="00DB6241"/>
    <w:rsid w:val="00DC39C9"/>
    <w:rsid w:val="00DD3A3B"/>
    <w:rsid w:val="00DD6663"/>
    <w:rsid w:val="00DE201F"/>
    <w:rsid w:val="00DE5A15"/>
    <w:rsid w:val="00DE605B"/>
    <w:rsid w:val="00DF41C7"/>
    <w:rsid w:val="00DF7641"/>
    <w:rsid w:val="00DF7B9C"/>
    <w:rsid w:val="00E01DA3"/>
    <w:rsid w:val="00E0218C"/>
    <w:rsid w:val="00E027B8"/>
    <w:rsid w:val="00E037B9"/>
    <w:rsid w:val="00E061E2"/>
    <w:rsid w:val="00E0790E"/>
    <w:rsid w:val="00E2526E"/>
    <w:rsid w:val="00E256E4"/>
    <w:rsid w:val="00E31A91"/>
    <w:rsid w:val="00E3390E"/>
    <w:rsid w:val="00E4714F"/>
    <w:rsid w:val="00E513F6"/>
    <w:rsid w:val="00E53832"/>
    <w:rsid w:val="00E55AC4"/>
    <w:rsid w:val="00E56A28"/>
    <w:rsid w:val="00E578C4"/>
    <w:rsid w:val="00E63E5E"/>
    <w:rsid w:val="00E7413B"/>
    <w:rsid w:val="00E869D4"/>
    <w:rsid w:val="00E94BAE"/>
    <w:rsid w:val="00E95106"/>
    <w:rsid w:val="00EA31C4"/>
    <w:rsid w:val="00EB010B"/>
    <w:rsid w:val="00EC4EB3"/>
    <w:rsid w:val="00EC6337"/>
    <w:rsid w:val="00EC64E4"/>
    <w:rsid w:val="00EC6FD1"/>
    <w:rsid w:val="00ED171B"/>
    <w:rsid w:val="00EE133C"/>
    <w:rsid w:val="00EE5A8F"/>
    <w:rsid w:val="00F178E8"/>
    <w:rsid w:val="00F22DCF"/>
    <w:rsid w:val="00F23E1F"/>
    <w:rsid w:val="00F2670B"/>
    <w:rsid w:val="00F30662"/>
    <w:rsid w:val="00F32C9F"/>
    <w:rsid w:val="00F34957"/>
    <w:rsid w:val="00F42B55"/>
    <w:rsid w:val="00F43662"/>
    <w:rsid w:val="00F442D4"/>
    <w:rsid w:val="00F45640"/>
    <w:rsid w:val="00F72164"/>
    <w:rsid w:val="00F77DAE"/>
    <w:rsid w:val="00F83359"/>
    <w:rsid w:val="00F86C45"/>
    <w:rsid w:val="00F90DB0"/>
    <w:rsid w:val="00F97F39"/>
    <w:rsid w:val="00FB4583"/>
    <w:rsid w:val="00FB7403"/>
    <w:rsid w:val="00FC4F8C"/>
    <w:rsid w:val="00FC65E3"/>
    <w:rsid w:val="00FD0833"/>
    <w:rsid w:val="00FD0B4F"/>
    <w:rsid w:val="00FD0DBC"/>
    <w:rsid w:val="00FD4440"/>
    <w:rsid w:val="00FD4A24"/>
    <w:rsid w:val="00FD4BDE"/>
    <w:rsid w:val="00FD7ACD"/>
    <w:rsid w:val="00FE234D"/>
    <w:rsid w:val="00FE2C91"/>
    <w:rsid w:val="013362DB"/>
    <w:rsid w:val="0451447E"/>
    <w:rsid w:val="0DBE4FF5"/>
    <w:rsid w:val="11DC1ADA"/>
    <w:rsid w:val="185659F1"/>
    <w:rsid w:val="1917583F"/>
    <w:rsid w:val="1EE46876"/>
    <w:rsid w:val="2C247C6C"/>
    <w:rsid w:val="32BA57B9"/>
    <w:rsid w:val="33E415E1"/>
    <w:rsid w:val="35690D78"/>
    <w:rsid w:val="42B067C3"/>
    <w:rsid w:val="432F53AF"/>
    <w:rsid w:val="5BE56AFB"/>
    <w:rsid w:val="5CFD36F4"/>
    <w:rsid w:val="5DD706C5"/>
    <w:rsid w:val="65F82F2B"/>
    <w:rsid w:val="6BCE6C7A"/>
    <w:rsid w:val="729741A6"/>
    <w:rsid w:val="755D3CD7"/>
    <w:rsid w:val="76572CA4"/>
    <w:rsid w:val="7B377784"/>
    <w:rsid w:val="7E844865"/>
    <w:rsid w:val="7F5F44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Times New Roman" w:cs="宋体"/>
      <w:sz w:val="22"/>
      <w:szCs w:val="22"/>
      <w:lang w:val="en-US" w:eastAsia="en-US" w:bidi="en-US"/>
    </w:rPr>
  </w:style>
  <w:style w:type="paragraph" w:styleId="2">
    <w:name w:val="heading 1"/>
    <w:basedOn w:val="1"/>
    <w:next w:val="1"/>
    <w:link w:val="22"/>
    <w:qFormat/>
    <w:uiPriority w:val="1"/>
    <w:pPr>
      <w:spacing w:before="55"/>
      <w:ind w:right="212"/>
      <w:jc w:val="center"/>
      <w:outlineLvl w:val="0"/>
    </w:pPr>
    <w:rPr>
      <w:rFonts w:ascii="黑体" w:hAnsi="黑体" w:eastAsia="黑体" w:cs="黑体"/>
      <w:sz w:val="32"/>
      <w:szCs w:val="32"/>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3"/>
    <w:semiHidden/>
    <w:unhideWhenUsed/>
    <w:qFormat/>
    <w:uiPriority w:val="99"/>
  </w:style>
  <w:style w:type="paragraph" w:styleId="4">
    <w:name w:val="Body Text"/>
    <w:basedOn w:val="1"/>
    <w:link w:val="16"/>
    <w:qFormat/>
    <w:uiPriority w:val="1"/>
    <w:rPr>
      <w:rFonts w:eastAsia="宋体"/>
      <w:sz w:val="21"/>
      <w:szCs w:val="21"/>
    </w:rPr>
  </w:style>
  <w:style w:type="paragraph" w:styleId="5">
    <w:name w:val="Balloon Text"/>
    <w:basedOn w:val="1"/>
    <w:link w:val="21"/>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24"/>
    <w:semiHidden/>
    <w:unhideWhenUsed/>
    <w:qFormat/>
    <w:uiPriority w:val="99"/>
    <w:rPr>
      <w:b/>
      <w:bCs/>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7"/>
    <w:qFormat/>
    <w:uiPriority w:val="99"/>
    <w:rPr>
      <w:sz w:val="18"/>
      <w:szCs w:val="18"/>
    </w:rPr>
  </w:style>
  <w:style w:type="character" w:customStyle="1" w:styleId="15">
    <w:name w:val="页脚 Char"/>
    <w:basedOn w:val="11"/>
    <w:link w:val="6"/>
    <w:qFormat/>
    <w:uiPriority w:val="99"/>
    <w:rPr>
      <w:sz w:val="18"/>
      <w:szCs w:val="18"/>
    </w:rPr>
  </w:style>
  <w:style w:type="character" w:customStyle="1" w:styleId="16">
    <w:name w:val="正文文本 Char"/>
    <w:basedOn w:val="11"/>
    <w:link w:val="4"/>
    <w:qFormat/>
    <w:uiPriority w:val="1"/>
    <w:rPr>
      <w:rFonts w:ascii="宋体" w:hAnsi="宋体" w:eastAsia="宋体" w:cs="宋体"/>
      <w:kern w:val="0"/>
      <w:szCs w:val="21"/>
      <w:lang w:eastAsia="en-US" w:bidi="en-US"/>
    </w:rPr>
  </w:style>
  <w:style w:type="paragraph" w:customStyle="1" w:styleId="17">
    <w:name w:val="段"/>
    <w:link w:val="1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8">
    <w:name w:val="段 Char"/>
    <w:link w:val="17"/>
    <w:qFormat/>
    <w:uiPriority w:val="0"/>
    <w:rPr>
      <w:rFonts w:ascii="宋体" w:hAnsi="Times New Roman" w:eastAsia="宋体" w:cs="Times New Roman"/>
      <w:kern w:val="0"/>
      <w:szCs w:val="20"/>
    </w:rPr>
  </w:style>
  <w:style w:type="paragraph" w:customStyle="1" w:styleId="19">
    <w:name w:val="修订1"/>
    <w:hidden/>
    <w:semiHidden/>
    <w:qFormat/>
    <w:uiPriority w:val="99"/>
    <w:rPr>
      <w:rFonts w:ascii="宋体" w:hAnsi="宋体" w:eastAsia="Times New Roman" w:cs="宋体"/>
      <w:sz w:val="22"/>
      <w:szCs w:val="22"/>
      <w:lang w:val="en-US" w:eastAsia="en-US" w:bidi="en-US"/>
    </w:rPr>
  </w:style>
  <w:style w:type="paragraph" w:styleId="20">
    <w:name w:val="List Paragraph"/>
    <w:basedOn w:val="1"/>
    <w:qFormat/>
    <w:uiPriority w:val="99"/>
    <w:pPr>
      <w:ind w:firstLine="420" w:firstLineChars="200"/>
    </w:pPr>
  </w:style>
  <w:style w:type="character" w:customStyle="1" w:styleId="21">
    <w:name w:val="批注框文本 Char"/>
    <w:basedOn w:val="11"/>
    <w:link w:val="5"/>
    <w:semiHidden/>
    <w:qFormat/>
    <w:uiPriority w:val="99"/>
    <w:rPr>
      <w:rFonts w:ascii="宋体" w:hAnsi="宋体" w:eastAsia="Times New Roman" w:cs="宋体"/>
      <w:sz w:val="18"/>
      <w:szCs w:val="18"/>
      <w:lang w:eastAsia="en-US" w:bidi="en-US"/>
    </w:rPr>
  </w:style>
  <w:style w:type="character" w:customStyle="1" w:styleId="22">
    <w:name w:val="标题 1 Char"/>
    <w:basedOn w:val="11"/>
    <w:link w:val="2"/>
    <w:qFormat/>
    <w:uiPriority w:val="1"/>
    <w:rPr>
      <w:rFonts w:ascii="黑体" w:hAnsi="黑体" w:eastAsia="黑体" w:cs="黑体"/>
      <w:sz w:val="32"/>
      <w:szCs w:val="32"/>
      <w:lang w:eastAsia="en-US" w:bidi="en-US"/>
    </w:rPr>
  </w:style>
  <w:style w:type="character" w:customStyle="1" w:styleId="23">
    <w:name w:val="批注文字 Char"/>
    <w:basedOn w:val="11"/>
    <w:link w:val="3"/>
    <w:semiHidden/>
    <w:qFormat/>
    <w:uiPriority w:val="99"/>
    <w:rPr>
      <w:rFonts w:ascii="宋体" w:hAnsi="宋体" w:eastAsia="Times New Roman" w:cs="宋体"/>
      <w:sz w:val="22"/>
      <w:szCs w:val="22"/>
      <w:lang w:eastAsia="en-US" w:bidi="en-US"/>
    </w:rPr>
  </w:style>
  <w:style w:type="character" w:customStyle="1" w:styleId="24">
    <w:name w:val="批注主题 Char"/>
    <w:basedOn w:val="23"/>
    <w:link w:val="8"/>
    <w:semiHidden/>
    <w:qFormat/>
    <w:uiPriority w:val="99"/>
    <w:rPr>
      <w:rFonts w:ascii="宋体" w:hAnsi="宋体" w:eastAsia="Times New Roman" w:cs="宋体"/>
      <w:b/>
      <w:bCs/>
      <w:sz w:val="22"/>
      <w:szCs w:val="22"/>
      <w:lang w:eastAsia="en-US" w:bidi="en-US"/>
    </w:rPr>
  </w:style>
  <w:style w:type="character" w:customStyle="1" w:styleId="25">
    <w:name w:val="未处理的提及1"/>
    <w:basedOn w:val="11"/>
    <w:semiHidden/>
    <w:unhideWhenUsed/>
    <w:qFormat/>
    <w:uiPriority w:val="99"/>
    <w:rPr>
      <w:color w:val="605E5C"/>
      <w:shd w:val="clear" w:color="auto" w:fill="E1DFDD"/>
    </w:rPr>
  </w:style>
  <w:style w:type="paragraph" w:customStyle="1" w:styleId="26">
    <w:name w:val="标准文件_段"/>
    <w:basedOn w:val="1"/>
    <w:link w:val="28"/>
    <w:qFormat/>
    <w:uiPriority w:val="0"/>
    <w:pPr>
      <w:widowControl/>
      <w:ind w:firstLine="200" w:firstLineChars="200"/>
      <w:jc w:val="both"/>
    </w:pPr>
    <w:rPr>
      <w:rFonts w:hint="eastAsia" w:hAnsi="Times New Roman" w:eastAsia="宋体" w:cs="Times New Roman"/>
      <w:sz w:val="21"/>
      <w:szCs w:val="20"/>
      <w:lang w:eastAsia="zh-CN" w:bidi="ar-SA"/>
    </w:rPr>
  </w:style>
  <w:style w:type="paragraph" w:customStyle="1" w:styleId="27">
    <w:name w:val="标准文件_正文公式"/>
    <w:basedOn w:val="1"/>
    <w:next w:val="1"/>
    <w:qFormat/>
    <w:uiPriority w:val="0"/>
    <w:pPr>
      <w:tabs>
        <w:tab w:val="center" w:pos="4678"/>
        <w:tab w:val="right" w:leader="middleDot" w:pos="9356"/>
      </w:tabs>
      <w:adjustRightInd w:val="0"/>
      <w:jc w:val="both"/>
    </w:pPr>
    <w:rPr>
      <w:rFonts w:hint="eastAsia" w:eastAsia="宋体" w:cs="Times New Roman"/>
      <w:kern w:val="2"/>
      <w:sz w:val="21"/>
      <w:szCs w:val="21"/>
      <w:lang w:eastAsia="zh-CN" w:bidi="ar-SA"/>
    </w:rPr>
  </w:style>
  <w:style w:type="character" w:customStyle="1" w:styleId="28">
    <w:name w:val="标准文件_段 Char"/>
    <w:basedOn w:val="11"/>
    <w:link w:val="26"/>
    <w:qFormat/>
    <w:uiPriority w:val="0"/>
    <w:rPr>
      <w:rFonts w:hint="eastAsia" w:ascii="宋体" w:hAnsi="宋体" w:eastAsia="宋体" w:cs="宋体"/>
      <w:sz w:val="21"/>
    </w:rPr>
  </w:style>
  <w:style w:type="paragraph" w:customStyle="1" w:styleId="29">
    <w:name w:val="标准文件_术语条一"/>
    <w:basedOn w:val="1"/>
    <w:next w:val="26"/>
    <w:qFormat/>
    <w:uiPriority w:val="0"/>
    <w:pPr>
      <w:widowControl/>
      <w:tabs>
        <w:tab w:val="left" w:pos="360"/>
      </w:tabs>
      <w:jc w:val="both"/>
    </w:pPr>
    <w:rPr>
      <w:rFonts w:hint="eastAsia" w:hAnsi="Times New Roman" w:eastAsia="宋体" w:cs="Times New Roman"/>
      <w:sz w:val="21"/>
      <w:szCs w:val="20"/>
      <w:lang w:eastAsia="zh-CN" w:bidi="ar-SA"/>
    </w:rPr>
  </w:style>
  <w:style w:type="table" w:customStyle="1" w:styleId="30">
    <w:name w:val="网格型1"/>
    <w:basedOn w:val="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网格型2"/>
    <w:basedOn w:val="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ntractReview xmlns="http://schemas.wps.cn/vas-ai-hub/contract-review">
  <reviewItems>
    <reviewItem>
      <errorID>65135519-4e0b-4584-ad9d-ed4f8bbe5add</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4E696152</paraID>
      <start>240</start>
      <end>241</end>
      <status>unmodified</status>
      <modifiedWord/>
      <trackRevisions>false</trackRevisions>
    </reviewItem>
    <reviewItem>
      <errorID>ced3cc3d-23ad-4b18-9ac5-cf15afff94a7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4EE1C78B</paraID>
      <start>0</start>
      <end>2</end>
      <status>unmodified</status>
      <modifiedWord/>
      <trackRevisions>false</trackRevisions>
    </reviewItem>
    <reviewItem>
      <errorID>d195893e-086c-4cc0-97b7-b4e9e61fc467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19064182</paraID>
      <start>0</start>
      <end>2</end>
      <status>unmodified</status>
      <modifiedWord/>
      <trackRevisions>false</trackRevisions>
    </reviewItem>
    <reviewItem>
      <errorID>de2e1f23-d16a-4669-be50-beb0c27a6014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22ADC01D</paraID>
      <start>0</start>
      <end>2</end>
      <status>unmodified</status>
      <modifiedWord/>
      <trackRevisions>false</trackRevisions>
    </reviewItem>
    <reviewItem>
      <errorID>be54cd15-65e0-43c5-a55e-69920f80d95e</errorID>
      <errorWord>剂</errorWord>
      <group>L1_Word</group>
      <groupName>字词问题</groupName>
      <ability>L2_Typo</ability>
      <abilityName>字词错误</abilityName>
      <candidateList>
        <item>剂是</item>
      </candidateList>
      <explain/>
      <paraID>6172FFF7</paraID>
      <start>7</start>
      <end>8</end>
      <status>unmodified</status>
      <modifiedWord/>
      <trackRevisions>false</trackRevisions>
    </reviewItem>
    <reviewItem>
      <errorID>e68156cc-a40d-4a4d-8628-b62b850c0c92</errorID>
      <errorWord>配置</errorWord>
      <group>L1_Word</group>
      <groupName>字词问题</groupName>
      <ability>L2_Typo</ability>
      <abilityName>字词错误</abilityName>
      <candidateList>
        <item>配制</item>
      </candidateList>
      <explain/>
      <paraID>32B74848</paraID>
      <start>5</start>
      <end>7</end>
      <status>unmodified</status>
      <modifiedWord/>
      <trackRevisions>false</trackRevisions>
    </reviewItem>
    <reviewItem>
      <errorID>f529f60d-c24a-4957-8744-4dc8bc1fd8da</errorID>
      <errorWord>)</errorWord>
      <group>L1_Format</group>
      <groupName>格式问题</groupName>
      <ability>L2_HalfPunc</ability>
      <abilityName>全半角检查</abilityName>
      <candidateList>
        <item>）</item>
      </candidateList>
      <explain>文本全半角错误。</explain>
      <paraID>2F54CCD0</paraID>
      <start>7</start>
      <end>8</end>
      <status>unmodified</status>
      <modifiedWord/>
      <trackRevisions>false</trackRevisions>
    </reviewItem>
    <reviewItem>
      <errorID>88558c2c-ac49-4d63-8f42-52cf587ab700</errorID>
      <errorWord>即淀粉酶</errorWord>
      <group>L1_Knowledge</group>
      <groupName>知识性问题</groupName>
      <ability>L2_Term</ability>
      <abilityName>专业术语</abilityName>
      <candidateList>
        <item>异淀粉酶</item>
      </candidateList>
      <explain/>
      <paraID>2F54CCD0</paraID>
      <start>22</start>
      <end>26</end>
      <status>unmodified</status>
      <modifiedWord/>
      <trackRevisions>false</trackRevisions>
    </reviewItem>
    <reviewItem>
      <errorID>f86d5622-778a-40bf-8786-785eb6d2e471</errorID>
      <errorWord>60-85%</errorWord>
      <group>L1_Knowledge</group>
      <groupName>知识性问题</groupName>
      <ability>L2_Knowledge</ability>
      <abilityName>其他知识</abilityName>
      <candidateList>
        <item>60%—85%</item>
      </candidateList>
      <explain>1. “60-85%”中的单位“%”仅出现在后一个数字上，容易引起歧义；根据《现代汉语标点符号数字用法规范手册》，数字表示范围两边需要使用统一的格式。2. 根据标点国标 4.13 中的规则，数字、时间或地域连接符应使用（视觉上更长的）“—”或“～”。</explain>
      <paraID>2F54CCD0</paraID>
      <start>35</start>
      <end>41</end>
      <status>unmodified</status>
      <modifiedWord/>
      <trackRevisions>false</trackRevisions>
    </reviewItem>
    <reviewItem>
      <errorID>2a2fa3ee-ab9d-44a8-b386-d0d425530f52</errorID>
      <errorWord>)</errorWord>
      <group>L1_Format</group>
      <groupName>格式问题</groupName>
      <ability>L2_HalfPunc</ability>
      <abilityName>全半角检查</abilityName>
      <candidateList>
        <item>）</item>
      </candidateList>
      <explain>文本全半角错误。</explain>
      <paraID>2F54CCD0</paraID>
      <start>70</start>
      <end>71</end>
      <status>unmodified</status>
      <modifiedWord/>
      <trackRevisions>false</trackRevisions>
    </reviewItem>
    <reviewItem>
      <errorID>c5037f39-02a1-4e93-82ce-44bd3e36f9aa</errorID>
      <errorWord>30%-60%</errorWord>
      <group>L1_Knowledge</group>
      <groupName>知识性问题</groupName>
      <ability>L2_Knowledge</ability>
      <abilityName>其他知识</abilityName>
      <candidateList>
        <item>30%—60%</item>
      </candidateList>
      <explain>1. “30%-60%”中的单位“%”仅出现在后一个数字上，容易引起歧义；根据《现代汉语标点符号数字用法规范手册》，数字表示范围两边需要使用统一的格式。2. 根据标点国标 4.13 中的规则，数字、时间或地域连接符应使用（视觉上更长的）“—”或“～”。</explain>
      <paraID>2F54CCD0</paraID>
      <start>82</start>
      <end>89</end>
      <status>unmodified</status>
      <modifiedWord/>
      <trackRevisions>false</trackRevisions>
    </reviewItem>
    <reviewItem>
      <errorID>8888d691-c323-41fc-9a0a-ca14a183c1bf</errorID>
      <errorWord>配置</errorWord>
      <group>L1_Word</group>
      <groupName>字词问题</groupName>
      <ability>L2_Typo</ability>
      <abilityName>字词错误</abilityName>
      <candidateList>
        <item>配制</item>
      </candidateList>
      <explain/>
      <paraID>2F54CCD0</paraID>
      <start>105</start>
      <end>107</end>
      <status>unmodified</status>
      <modifiedWord/>
      <trackRevisions>false</trackRevisions>
    </reviewItem>
    <reviewItem>
      <errorID>078b49c2-3486-450c-84b2-17fe05befa93</errorID>
      <errorWord>法律、法规</errorWord>
      <group>L1_Word</group>
      <groupName>字词问题</groupName>
      <ability>L2_Typo</ability>
      <abilityName>字词错误</abilityName>
      <candidateList>
        <item>法律法规</item>
      </candidateList>
      <explain/>
      <paraID>3D28898C</paraID>
      <start>8</start>
      <end>13</end>
      <status>unmodified</status>
      <modifiedWord/>
      <trackRevisions>false</trackRevisions>
    </reviewItem>
    <reviewItem>
      <errorID>b631ff32-f488-4a62-81f0-38d1bc392d1d</errorID>
      <errorWord>法律、法规</errorWord>
      <group>L1_Word</group>
      <groupName>字词问题</groupName>
      <ability>L2_Typo</ability>
      <abilityName>字词错误</abilityName>
      <candidateList>
        <item>法律法规</item>
      </candidateList>
      <explain/>
      <paraID>5731A310</paraID>
      <start>6</start>
      <end>11</end>
      <status>unmodified</status>
      <modifiedWord/>
      <trackRevisions>false</trackRevisions>
    </reviewItem>
  </reviewItems>
  <config/>
</contractReview>
</file>

<file path=customXml/itemProps1.xml><?xml version="1.0" encoding="utf-8"?>
<ds:datastoreItem xmlns:ds="http://schemas.openxmlformats.org/officeDocument/2006/customXml" ds:itemID="{843BB080-5C24-4CD5-9C77-F5B7317339FB}">
  <ds:schemaRefs/>
</ds:datastoreItem>
</file>

<file path=customXml/itemProps2.xml><?xml version="1.0" encoding="utf-8"?>
<ds:datastoreItem xmlns:ds="http://schemas.openxmlformats.org/officeDocument/2006/customXml" ds:itemID="{8A728E22-E06D-4E68-8A9A-0D2EDDE5E6D3}">
  <ds:schemaRefs/>
</ds:datastoreItem>
</file>

<file path=docProps/app.xml><?xml version="1.0" encoding="utf-8"?>
<Properties xmlns="http://schemas.openxmlformats.org/officeDocument/2006/extended-properties" xmlns:vt="http://schemas.openxmlformats.org/officeDocument/2006/docPropsVTypes">
  <Template>Normal</Template>
  <Pages>8</Pages>
  <Words>2662</Words>
  <Characters>2827</Characters>
  <Lines>48</Lines>
  <Paragraphs>13</Paragraphs>
  <TotalTime>40</TotalTime>
  <ScaleCrop>false</ScaleCrop>
  <LinksUpToDate>false</LinksUpToDate>
  <CharactersWithSpaces>2865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2026-02-25T07:25:00Z</dcterms:created>
  <dc:creator>中尉</dc:creator>
  <cp:lastModifiedBy>Adler.L</cp:lastModifiedBy>
  <cp:lastPrinted>2022-03-09T08:03:00Z</cp:lastPrinted>
  <dcterms:modified xsi:type="dcterms:W3CDTF">2026-02-27T02:50:40Z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CD5A186466ED405A95D751B27611C519_13</vt:lpwstr>
  </property>
  <property fmtid="{D5CDD505-2E9C-101B-9397-08002B2CF9AE}" pid="4" name="KSOTemplateDocerSaveRecord">
    <vt:lpwstr>eyJoZGlkIjoiZjFlZWJlNjgwNTM3ZmIwM2Y4MzRjMmFmMGE5MDk1YTAiLCJ1c2VySWQiOiI2NDQwMzE3NzcifQ==</vt:lpwstr>
  </property>
</Properties>
</file>